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A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0" w:name="block-6539447"/>
    </w:p>
    <w:p w:rsidR="0076592A" w:rsidRPr="006C7277" w:rsidRDefault="0048136A">
      <w:pPr>
        <w:rPr>
          <w:color w:val="595959" w:themeColor="text1" w:themeTint="A6"/>
          <w:sz w:val="24"/>
          <w:szCs w:val="24"/>
          <w:lang w:val="ru-RU"/>
        </w:rPr>
        <w:sectPr w:rsidR="0076592A" w:rsidRPr="006C7277" w:rsidSect="006C727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  <w:color w:val="595959" w:themeColor="text1" w:themeTint="A6"/>
          <w:sz w:val="24"/>
          <w:szCs w:val="24"/>
          <w:lang w:val="ru-RU" w:eastAsia="ru-RU"/>
        </w:rPr>
        <w:drawing>
          <wp:inline distT="0" distB="0" distL="0" distR="0">
            <wp:extent cx="6645910" cy="9129379"/>
            <wp:effectExtent l="19050" t="0" r="2540" b="0"/>
            <wp:docPr id="1" name="Рисунок 1" descr="C:\Users\1\Pictures\2023-09-28 Скан\Скан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8 Скан\Скан 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1" w:name="block-6539448"/>
      <w:bookmarkEnd w:id="0"/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ПОЯСНИТЕЛЬНАЯ ЗАПИСКА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информационный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подготовки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обучающимися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‌</w:t>
      </w:r>
      <w:bookmarkStart w:id="2" w:name="bb146442-f527-41bf-8c2f-d7c56b2bd4b0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‌‌</w:t>
      </w:r>
      <w:proofErr w:type="gramEnd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76592A">
      <w:pPr>
        <w:rPr>
          <w:color w:val="595959" w:themeColor="text1" w:themeTint="A6"/>
          <w:sz w:val="24"/>
          <w:szCs w:val="24"/>
          <w:lang w:val="ru-RU"/>
        </w:rPr>
        <w:sectPr w:rsidR="0076592A" w:rsidRPr="006C7277" w:rsidSect="006C727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3" w:name="block-6539442"/>
      <w:bookmarkEnd w:id="1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​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СОДЕРЖАНИЕ УЧЕБНОГО ПРЕДМЕТА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bookmarkStart w:id="4" w:name="_Toc101876902"/>
      <w:bookmarkEnd w:id="4"/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Знания о физической культуре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Способы самостоятельной деятельности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Физическое совершенствование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Гимнастика с основами акробатики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положения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Лыжная подготовка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Лёгкая атлетика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Подвижные и спортивные игры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>Прикладно-ориентированная физическая культура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основных физических каче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ств ср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5" w:name="_Toc137548637"/>
      <w:bookmarkEnd w:id="5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Знания о физической культуре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>Способы самостоятельной деятельности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Физическое совершенствование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Гимнастика с основами акробатики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Лыжная подготовка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Лёгкая атлетика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положения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Подвижные игры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ств ср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едствами подвижных и спортивных игр.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6" w:name="_Toc137548638"/>
      <w:bookmarkEnd w:id="6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 КЛАСС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pacing w:val="-2"/>
          <w:sz w:val="24"/>
          <w:szCs w:val="24"/>
          <w:lang w:val="ru-RU"/>
        </w:rPr>
        <w:t>Знания о физической культуре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48136A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России. </w:t>
      </w: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Лёгкая атлетика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</w:t>
      </w: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lastRenderedPageBreak/>
        <w:t xml:space="preserve">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Лыжная подготовка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>ств ср</w:t>
      </w:r>
      <w:proofErr w:type="gramEnd"/>
      <w:r w:rsidRPr="006C7277">
        <w:rPr>
          <w:rFonts w:ascii="Times New Roman" w:hAnsi="Times New Roman"/>
          <w:color w:val="595959" w:themeColor="text1" w:themeTint="A6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7" w:name="_Toc137548639"/>
      <w:bookmarkEnd w:id="7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4 КЛАСС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Знания о физической культуре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Способы самостоятельной деятельности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 xml:space="preserve">Физическое совершенствование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Гимнастика с основами акробатики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Лёгкая атлетика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дальность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стоя на месте.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Лыжная подготовка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Плавательная подготовка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Подвижные и спортивные игры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Прикладно-ориентированная физическая культура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6592A" w:rsidRPr="006C7277" w:rsidRDefault="0076592A">
      <w:pPr>
        <w:rPr>
          <w:color w:val="595959" w:themeColor="text1" w:themeTint="A6"/>
          <w:sz w:val="24"/>
          <w:szCs w:val="24"/>
          <w:lang w:val="ru-RU"/>
        </w:rPr>
        <w:sectPr w:rsidR="0076592A" w:rsidRPr="006C7277" w:rsidSect="006C727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8" w:name="_Toc137548640"/>
      <w:bookmarkStart w:id="9" w:name="block-6539444"/>
      <w:bookmarkEnd w:id="3"/>
      <w:bookmarkEnd w:id="8"/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0" w:name="_Toc137548641"/>
      <w:bookmarkEnd w:id="10"/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ЛИЧНОСТНЫЕ РЕЗУЛЬТАТЫ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6592A" w:rsidRPr="006C7277" w:rsidRDefault="006C7277">
      <w:pPr>
        <w:numPr>
          <w:ilvl w:val="0"/>
          <w:numId w:val="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1" w:name="_Toc137548642"/>
      <w:bookmarkEnd w:id="11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МЕТАПРЕДМЕТНЫЕ РЕЗУЛЬТАТЫ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 концу обучения в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1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Познавательные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76592A" w:rsidRPr="006C7277" w:rsidRDefault="006C7277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76592A" w:rsidRPr="006C7277" w:rsidRDefault="006C7277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6592A" w:rsidRPr="006C7277" w:rsidRDefault="006C7277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6592A" w:rsidRPr="006C7277" w:rsidRDefault="006C7277">
      <w:pPr>
        <w:numPr>
          <w:ilvl w:val="0"/>
          <w:numId w:val="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Коммуникативные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6592A" w:rsidRPr="006C7277" w:rsidRDefault="006C7277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6592A" w:rsidRPr="006C7277" w:rsidRDefault="006C7277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6592A" w:rsidRPr="006C7277" w:rsidRDefault="006C7277">
      <w:pPr>
        <w:numPr>
          <w:ilvl w:val="0"/>
          <w:numId w:val="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Регулятивные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76592A" w:rsidRPr="006C7277" w:rsidRDefault="006C7277">
      <w:pPr>
        <w:numPr>
          <w:ilvl w:val="0"/>
          <w:numId w:val="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6592A" w:rsidRPr="006C7277" w:rsidRDefault="006C7277">
      <w:pPr>
        <w:numPr>
          <w:ilvl w:val="0"/>
          <w:numId w:val="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6592A" w:rsidRPr="006C7277" w:rsidRDefault="006C7277">
      <w:pPr>
        <w:numPr>
          <w:ilvl w:val="0"/>
          <w:numId w:val="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Познавательные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6592A" w:rsidRPr="006C7277" w:rsidRDefault="006C7277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76592A" w:rsidRPr="006C7277" w:rsidRDefault="006C7277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6592A" w:rsidRPr="006C7277" w:rsidRDefault="006C7277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6592A" w:rsidRPr="006C7277" w:rsidRDefault="006C7277">
      <w:pPr>
        <w:numPr>
          <w:ilvl w:val="0"/>
          <w:numId w:val="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Коммуникативные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6592A" w:rsidRPr="006C7277" w:rsidRDefault="006C7277">
      <w:pPr>
        <w:numPr>
          <w:ilvl w:val="0"/>
          <w:numId w:val="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76592A" w:rsidRPr="006C7277" w:rsidRDefault="006C7277">
      <w:pPr>
        <w:numPr>
          <w:ilvl w:val="0"/>
          <w:numId w:val="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Регулятивные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76592A" w:rsidRPr="006C7277" w:rsidRDefault="006C7277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6592A" w:rsidRPr="006C7277" w:rsidRDefault="006C7277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6592A" w:rsidRPr="006C7277" w:rsidRDefault="006C7277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6592A" w:rsidRPr="006C7277" w:rsidRDefault="006C7277">
      <w:pPr>
        <w:numPr>
          <w:ilvl w:val="0"/>
          <w:numId w:val="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 концу обучения в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3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Познавательные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6592A" w:rsidRPr="006C7277" w:rsidRDefault="006C7277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6592A" w:rsidRPr="006C7277" w:rsidRDefault="006C7277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6592A" w:rsidRPr="006C7277" w:rsidRDefault="006C7277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6592A" w:rsidRPr="006C7277" w:rsidRDefault="006C7277">
      <w:pPr>
        <w:numPr>
          <w:ilvl w:val="0"/>
          <w:numId w:val="8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Коммуникативные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6592A" w:rsidRPr="006C7277" w:rsidRDefault="006C7277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6592A" w:rsidRPr="006C7277" w:rsidRDefault="006C7277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6592A" w:rsidRPr="006C7277" w:rsidRDefault="006C7277">
      <w:pPr>
        <w:numPr>
          <w:ilvl w:val="0"/>
          <w:numId w:val="9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Регулятивные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76592A" w:rsidRPr="006C7277" w:rsidRDefault="006C7277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6592A" w:rsidRPr="006C7277" w:rsidRDefault="006C7277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6592A" w:rsidRPr="006C7277" w:rsidRDefault="006C7277">
      <w:pPr>
        <w:numPr>
          <w:ilvl w:val="0"/>
          <w:numId w:val="10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 концу обучения в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4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Познавательные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6592A" w:rsidRPr="006C7277" w:rsidRDefault="006C7277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6592A" w:rsidRPr="006C7277" w:rsidRDefault="006C7277">
      <w:pPr>
        <w:numPr>
          <w:ilvl w:val="0"/>
          <w:numId w:val="11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Коммуникативные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 xml:space="preserve">: </w:t>
      </w:r>
    </w:p>
    <w:p w:rsidR="0076592A" w:rsidRPr="006C7277" w:rsidRDefault="006C7277">
      <w:pPr>
        <w:numPr>
          <w:ilvl w:val="0"/>
          <w:numId w:val="1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обучающимися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6592A" w:rsidRPr="006C7277" w:rsidRDefault="006C7277">
      <w:pPr>
        <w:numPr>
          <w:ilvl w:val="0"/>
          <w:numId w:val="1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обучающимися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6592A" w:rsidRPr="006C7277" w:rsidRDefault="006C7277">
      <w:pPr>
        <w:numPr>
          <w:ilvl w:val="0"/>
          <w:numId w:val="12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Регулятивные универсальные учебные действия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:</w:t>
      </w:r>
    </w:p>
    <w:p w:rsidR="0076592A" w:rsidRPr="006C7277" w:rsidRDefault="006C7277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6592A" w:rsidRPr="006C7277" w:rsidRDefault="006C7277">
      <w:pPr>
        <w:numPr>
          <w:ilvl w:val="0"/>
          <w:numId w:val="13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3" w:name="_Toc137548643"/>
      <w:bookmarkEnd w:id="13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ПРЕДМЕТНЫЕ РЕЗУЛЬТАТЫ</w:t>
      </w:r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4" w:name="_Toc137548644"/>
      <w:bookmarkEnd w:id="14"/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 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76592A" w:rsidRPr="006C7277" w:rsidRDefault="006C7277">
      <w:pPr>
        <w:numPr>
          <w:ilvl w:val="0"/>
          <w:numId w:val="14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6" w:name="_Toc137548645"/>
      <w:bookmarkEnd w:id="16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во 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6592A" w:rsidRPr="006C7277" w:rsidRDefault="006C7277">
      <w:pPr>
        <w:numPr>
          <w:ilvl w:val="0"/>
          <w:numId w:val="15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Symbol" w:hAnsi="Symbol"/>
          <w:color w:val="595959" w:themeColor="text1" w:themeTint="A6"/>
          <w:sz w:val="24"/>
          <w:szCs w:val="24"/>
        </w:rPr>
        <w:t>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18" w:name="_Toc137548646"/>
      <w:bookmarkEnd w:id="18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 КЛАСС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 концу обучения в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3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положения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сидя и стоя;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6592A" w:rsidRPr="006C7277" w:rsidRDefault="006C7277">
      <w:pPr>
        <w:numPr>
          <w:ilvl w:val="0"/>
          <w:numId w:val="16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20" w:name="_Toc137548647"/>
      <w:bookmarkEnd w:id="20"/>
    </w:p>
    <w:p w:rsidR="0076592A" w:rsidRPr="006C7277" w:rsidRDefault="0076592A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4 КЛАСС</w:t>
      </w:r>
    </w:p>
    <w:p w:rsidR="0076592A" w:rsidRPr="006C7277" w:rsidRDefault="006C7277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в 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4 классе</w:t>
      </w: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сердечно-сосудистой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 дыхательной систем;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обучающегося</w:t>
      </w:r>
      <w:proofErr w:type="gramEnd"/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);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6592A" w:rsidRPr="006C7277" w:rsidRDefault="006C7277">
      <w:pPr>
        <w:numPr>
          <w:ilvl w:val="0"/>
          <w:numId w:val="17"/>
        </w:numPr>
        <w:spacing w:after="0" w:line="264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6592A" w:rsidRPr="006C7277" w:rsidRDefault="0076592A">
      <w:pPr>
        <w:rPr>
          <w:color w:val="595959" w:themeColor="text1" w:themeTint="A6"/>
          <w:sz w:val="24"/>
          <w:szCs w:val="24"/>
          <w:lang w:val="ru-RU"/>
        </w:rPr>
        <w:sectPr w:rsidR="0076592A" w:rsidRPr="006C7277" w:rsidSect="006C727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21" w:name="block-6539443"/>
      <w:bookmarkEnd w:id="9"/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 xml:space="preserve"> </w:t>
      </w: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ТЕМАТИЧЕСКОЕ ПЛАНИРОВАНИЕ </w:t>
      </w: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6592A" w:rsidRPr="006C72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ФИЗИЧЕСКОЕ СОВЕРШЕНСТВОВАНИЕ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>
      <w:pPr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6592A" w:rsidRPr="006C72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ФИЗИЧЕСКОЕ СОВЕРШЕНСТВОВАНИЕ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Поле для свободного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 w:rsidP="006C7277">
      <w:pPr>
        <w:spacing w:line="240" w:lineRule="auto"/>
        <w:contextualSpacing/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 w:rsidP="006C7277">
      <w:pPr>
        <w:spacing w:after="0" w:line="240" w:lineRule="auto"/>
        <w:ind w:left="120"/>
        <w:contextualSpacing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6592A" w:rsidRPr="006C72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ФИЗИЧЕСКОЕ СОВЕРШЕНСТВОВАНИЕ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 w:rsidP="006C7277">
      <w:pPr>
        <w:spacing w:line="240" w:lineRule="auto"/>
        <w:contextualSpacing/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 w:rsidP="006C7277">
      <w:pPr>
        <w:spacing w:after="0" w:line="240" w:lineRule="auto"/>
        <w:ind w:left="120"/>
        <w:contextualSpacing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6592A" w:rsidRPr="006C72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Профилактика предупреждения травм и оказание первой помощи при их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ФИЗИЧЕСКОЕ СОВЕРШЕНСТВОВАНИЕ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2.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481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Поле для свободного ввода</w:t>
            </w: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contextualSpacing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contextualSpacing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>
      <w:pPr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76592A">
      <w:pPr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7277" w:rsidRDefault="006C7277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bookmarkStart w:id="22" w:name="block-6539445"/>
      <w:bookmarkEnd w:id="21"/>
    </w:p>
    <w:p w:rsidR="006C7277" w:rsidRDefault="006C7277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ПОУРОЧНОЕ ПЛАНИРОВАНИЕ </w:t>
      </w: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76592A" w:rsidRPr="006C7277" w:rsidTr="006C727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Имитационные упражнения техники передвижения на лыжах скользящим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шагом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Обучение прыжку в длину с места в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полной координации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Разучивание подвижной игры «Не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оступись»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Спортивные нормативы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лыжах.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 w:rsidP="006C7277">
      <w:pPr>
        <w:spacing w:line="240" w:lineRule="auto"/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 w:rsidP="006C7277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11"/>
        <w:gridCol w:w="1841"/>
        <w:gridCol w:w="1910"/>
        <w:gridCol w:w="1347"/>
        <w:gridCol w:w="2221"/>
      </w:tblGrid>
      <w:tr w:rsidR="0076592A" w:rsidRPr="006C7277" w:rsidTr="006C727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Физическое развитие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Физические качества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Сила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Выносливость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Закаливание организма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Утренняя зарядка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Спуск с горы в основной стойке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Подъем лесенкой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Подъем лесенкой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Торможение лыжными палками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Торможение падением на бок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Футбольный бильярд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Футбольный бильярд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Бросок ногой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Бросок ногой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Смешанное передвижение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Смешанное передвижение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Подв.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Подвижн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90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Подвижн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91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теннисного мяча в цель. Подв</w:t>
            </w: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97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98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48136A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48136A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48136A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48136A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 w:rsidP="006C7277">
      <w:pPr>
        <w:spacing w:line="240" w:lineRule="auto"/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 w:rsidP="006C7277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11"/>
        <w:gridCol w:w="1841"/>
        <w:gridCol w:w="1910"/>
        <w:gridCol w:w="1347"/>
        <w:gridCol w:w="2221"/>
      </w:tblGrid>
      <w:tr w:rsidR="0076592A" w:rsidRPr="006C7277" w:rsidTr="006C727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Лазанье по канату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Лазанье по канату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Прыжки через скакалку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Прыжки через скакалку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Ритмическая гимнастика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Ритмическая гимнастика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Броски набивного мяча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Броски набивного мяча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Повороты на лыжах способом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переступания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Подвижные игры с элементами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спортивных игр: парашютисты, стрелки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футбол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Спортивная игра футбол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1000м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1000м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Подвижные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 w:rsidP="006C7277">
      <w:pPr>
        <w:spacing w:line="240" w:lineRule="auto"/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C7277" w:rsidRDefault="006C7277" w:rsidP="006C7277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76592A" w:rsidRPr="006C7277" w:rsidRDefault="006C7277" w:rsidP="006C7277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326"/>
        <w:gridCol w:w="1841"/>
        <w:gridCol w:w="1910"/>
        <w:gridCol w:w="1347"/>
        <w:gridCol w:w="2221"/>
      </w:tblGrid>
      <w:tr w:rsidR="0076592A" w:rsidRPr="006C7277" w:rsidTr="006C7277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76592A" w:rsidRPr="006C7277" w:rsidRDefault="0076592A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92A" w:rsidRPr="006C7277" w:rsidRDefault="0076592A" w:rsidP="006C7277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Закаливание организма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Опорной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Опорной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Поводящие упражнения для обучения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Беговые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Беговые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Передвижение на лыжах одновременным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одношажным ходом: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с плавательной доской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скольжении на груди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ГТО в наше время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30м.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1000м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Бег на 1000м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94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положения</w:t>
            </w:r>
            <w:proofErr w:type="gramEnd"/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лежа на спине.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C7277" w:rsidRPr="006C7277" w:rsidTr="006C72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277" w:rsidRPr="006C7277" w:rsidRDefault="006C7277" w:rsidP="006C7277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6592A" w:rsidRPr="006C7277" w:rsidTr="006C72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592A" w:rsidRPr="006C7277" w:rsidRDefault="006C7277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C7277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92A" w:rsidRPr="006C7277" w:rsidRDefault="0076592A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76592A" w:rsidRPr="006C7277" w:rsidRDefault="0076592A">
      <w:pPr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76592A">
      <w:pPr>
        <w:rPr>
          <w:color w:val="595959" w:themeColor="text1" w:themeTint="A6"/>
          <w:sz w:val="24"/>
          <w:szCs w:val="24"/>
        </w:rPr>
        <w:sectPr w:rsidR="0076592A" w:rsidRPr="006C7277" w:rsidSect="006C7277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23" w:name="block-6539446"/>
      <w:bookmarkEnd w:id="22"/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ОБЯЗАТЕЛЬНЫЕ УЧЕБНЫЕ МАТЕРИАЛЫ ДЛЯ УЧЕНИКА</w:t>
      </w: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​‌‌</w:t>
      </w:r>
    </w:p>
    <w:p w:rsidR="0076592A" w:rsidRPr="006C7277" w:rsidRDefault="006C7277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​</w:t>
      </w: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</w:rPr>
        <w:t>МЕТОДИЧЕСКИЕ МАТЕРИАЛЫ ДЛЯ УЧИТЕЛЯ</w:t>
      </w: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76592A" w:rsidRPr="006C7277" w:rsidRDefault="0076592A">
      <w:pPr>
        <w:spacing w:after="0"/>
        <w:ind w:left="120"/>
        <w:rPr>
          <w:color w:val="595959" w:themeColor="text1" w:themeTint="A6"/>
          <w:sz w:val="24"/>
          <w:szCs w:val="24"/>
        </w:rPr>
      </w:pPr>
    </w:p>
    <w:p w:rsidR="0076592A" w:rsidRPr="006C7277" w:rsidRDefault="006C7277">
      <w:pPr>
        <w:spacing w:after="0" w:line="48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6C7277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6592A" w:rsidRPr="006C7277" w:rsidRDefault="006C7277" w:rsidP="006C7277">
      <w:pPr>
        <w:spacing w:after="0" w:line="480" w:lineRule="auto"/>
        <w:ind w:left="120"/>
        <w:rPr>
          <w:color w:val="595959" w:themeColor="text1" w:themeTint="A6"/>
          <w:sz w:val="24"/>
          <w:szCs w:val="24"/>
          <w:lang w:val="ru-RU"/>
        </w:rPr>
        <w:sectPr w:rsidR="0076592A" w:rsidRPr="006C7277" w:rsidSect="006C7277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6C7277">
        <w:rPr>
          <w:rFonts w:ascii="Times New Roman" w:hAnsi="Times New Roman"/>
          <w:color w:val="595959" w:themeColor="text1" w:themeTint="A6"/>
          <w:sz w:val="24"/>
          <w:szCs w:val="24"/>
        </w:rPr>
        <w:t>​​‌‌​</w:t>
      </w:r>
    </w:p>
    <w:bookmarkEnd w:id="23"/>
    <w:p w:rsidR="006C7277" w:rsidRPr="006C7277" w:rsidRDefault="006C7277">
      <w:pPr>
        <w:rPr>
          <w:lang w:val="ru-RU"/>
        </w:rPr>
      </w:pPr>
    </w:p>
    <w:sectPr w:rsidR="006C7277" w:rsidRPr="006C7277" w:rsidSect="00765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B03"/>
    <w:multiLevelType w:val="multilevel"/>
    <w:tmpl w:val="43989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2037"/>
    <w:multiLevelType w:val="multilevel"/>
    <w:tmpl w:val="0A025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6B3F"/>
    <w:multiLevelType w:val="multilevel"/>
    <w:tmpl w:val="4FC25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3A1DA0"/>
    <w:multiLevelType w:val="multilevel"/>
    <w:tmpl w:val="80BE5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514542"/>
    <w:multiLevelType w:val="multilevel"/>
    <w:tmpl w:val="911C7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E5E44"/>
    <w:multiLevelType w:val="multilevel"/>
    <w:tmpl w:val="3B768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E42BA4"/>
    <w:multiLevelType w:val="multilevel"/>
    <w:tmpl w:val="C20CF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03969"/>
    <w:multiLevelType w:val="multilevel"/>
    <w:tmpl w:val="57608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D5D5A"/>
    <w:multiLevelType w:val="multilevel"/>
    <w:tmpl w:val="2C867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F949D3"/>
    <w:multiLevelType w:val="multilevel"/>
    <w:tmpl w:val="D4B49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F4E53"/>
    <w:multiLevelType w:val="multilevel"/>
    <w:tmpl w:val="12801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753DB4"/>
    <w:multiLevelType w:val="multilevel"/>
    <w:tmpl w:val="B262F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C32B4"/>
    <w:multiLevelType w:val="multilevel"/>
    <w:tmpl w:val="C1C2D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37451"/>
    <w:multiLevelType w:val="multilevel"/>
    <w:tmpl w:val="30406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A5491"/>
    <w:multiLevelType w:val="multilevel"/>
    <w:tmpl w:val="04C2E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954257"/>
    <w:multiLevelType w:val="multilevel"/>
    <w:tmpl w:val="85CC7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D0ACC"/>
    <w:multiLevelType w:val="multilevel"/>
    <w:tmpl w:val="EBB63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6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76592A"/>
    <w:rsid w:val="004069F2"/>
    <w:rsid w:val="0048136A"/>
    <w:rsid w:val="00510472"/>
    <w:rsid w:val="006C7277"/>
    <w:rsid w:val="0076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59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5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1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2023-09-05T07:02:00Z</cp:lastPrinted>
  <dcterms:created xsi:type="dcterms:W3CDTF">2023-09-05T06:52:00Z</dcterms:created>
  <dcterms:modified xsi:type="dcterms:W3CDTF">2023-10-16T07:26:00Z</dcterms:modified>
</cp:coreProperties>
</file>