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75540" w14:textId="2D64B1BD" w:rsidR="00362124" w:rsidRDefault="007A5BB2" w:rsidP="00F1317A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  <w:r>
        <w:rPr>
          <w:rFonts w:ascii="Times New Roman" w:eastAsia="DejaVu Sans" w:hAnsi="Times New Roman" w:cs="Times New Roman"/>
          <w:b/>
          <w:noProof/>
          <w:color w:val="002060"/>
          <w:kern w:val="1"/>
          <w:sz w:val="24"/>
          <w:szCs w:val="24"/>
          <w:lang w:eastAsia="hi-IN" w:bidi="hi-IN"/>
        </w:rPr>
        <w:drawing>
          <wp:anchor distT="0" distB="0" distL="114300" distR="114300" simplePos="0" relativeHeight="251663872" behindDoc="0" locked="0" layoutInCell="1" allowOverlap="1" wp14:anchorId="08D97AA0" wp14:editId="177D1108">
            <wp:simplePos x="0" y="0"/>
            <wp:positionH relativeFrom="column">
              <wp:posOffset>2678203</wp:posOffset>
            </wp:positionH>
            <wp:positionV relativeFrom="paragraph">
              <wp:posOffset>283684</wp:posOffset>
            </wp:positionV>
            <wp:extent cx="941695" cy="94169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23-08-19_19-10-55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9F9F9F"/>
                        </a:clrFrom>
                        <a:clrTo>
                          <a:srgbClr val="9F9F9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49" cy="94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0FE62" w14:textId="738AC9EB" w:rsidR="00777FD7" w:rsidRDefault="00777FD7" w:rsidP="00F1317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</w:p>
    <w:p w14:paraId="76AE7843" w14:textId="294D98E1" w:rsidR="00777FD7" w:rsidRDefault="00777FD7" w:rsidP="00F1317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</w:p>
    <w:p w14:paraId="631D856A" w14:textId="7F7BD310" w:rsidR="00777FD7" w:rsidRDefault="00777FD7" w:rsidP="00F1317A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</w:p>
    <w:p w14:paraId="137FE219" w14:textId="1FAECB70" w:rsidR="00777FD7" w:rsidRDefault="00777FD7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</w:p>
    <w:p w14:paraId="48FBBBA6" w14:textId="77777777" w:rsid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</w:p>
    <w:p w14:paraId="484A116D" w14:textId="13EEBE00" w:rsidR="00777FD7" w:rsidRDefault="00777FD7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  <w:t>РЕСПУБЛИКА ДАГЕСТАН</w:t>
      </w:r>
    </w:p>
    <w:p w14:paraId="68FB8DF2" w14:textId="7D2D78C3" w:rsidR="00777FD7" w:rsidRDefault="00777FD7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  <w:r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  <w:t>АДМИНИСТРАЦИЯ ГО «г. ЮЖНО -СУХОКУМСК»</w:t>
      </w:r>
    </w:p>
    <w:p w14:paraId="27D7E7F0" w14:textId="20E9B80F" w:rsid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</w:p>
    <w:p w14:paraId="4146D112" w14:textId="54CF6D2A" w:rsid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</w:p>
    <w:p w14:paraId="349BC4FE" w14:textId="56E10ADB" w:rsid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</w:p>
    <w:p w14:paraId="126A5172" w14:textId="13C34CBF" w:rsid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</w:p>
    <w:p w14:paraId="4663F60E" w14:textId="03E3598C" w:rsid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</w:p>
    <w:p w14:paraId="43EEF6E6" w14:textId="77777777" w:rsidR="007A5BB2" w:rsidRPr="007A5BB2" w:rsidRDefault="007A5BB2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"/>
          <w:szCs w:val="2"/>
          <w:lang w:eastAsia="hi-IN" w:bidi="hi-IN"/>
        </w:rPr>
      </w:pPr>
    </w:p>
    <w:p w14:paraId="6EF0ED78" w14:textId="6B2A92D6" w:rsidR="00F1317A" w:rsidRPr="00F1317A" w:rsidRDefault="00F1317A" w:rsidP="002A102C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</w:pPr>
      <w:r w:rsidRPr="00F1317A">
        <w:rPr>
          <w:rFonts w:ascii="Times New Roman" w:eastAsia="DejaVu Sans" w:hAnsi="Times New Roman" w:cs="Times New Roman"/>
          <w:b/>
          <w:color w:val="002060"/>
          <w:kern w:val="1"/>
          <w:sz w:val="24"/>
          <w:szCs w:val="24"/>
          <w:lang w:eastAsia="hi-IN" w:bidi="hi-IN"/>
        </w:rPr>
        <w:t>МУНИЦИПАЛЬНОЕ КАЗЕННОЕ ОБЩЕОБРАЗОВАТЕЛЬНОЕ УЧРЕЖДЕНИЕ</w:t>
      </w:r>
    </w:p>
    <w:p w14:paraId="10E54640" w14:textId="77777777" w:rsidR="00777FD7" w:rsidRPr="00777FD7" w:rsidRDefault="00777FD7" w:rsidP="002A102C">
      <w:pPr>
        <w:keepNext/>
        <w:widowControl w:val="0"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2"/>
          <w:sz w:val="24"/>
          <w:szCs w:val="24"/>
          <w:lang w:val="x-none" w:eastAsia="hi-IN" w:bidi="hi-IN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2"/>
          <w:sz w:val="24"/>
          <w:szCs w:val="24"/>
          <w:lang w:eastAsia="hi-IN" w:bidi="hi-IN"/>
        </w:rPr>
        <w:t>«</w:t>
      </w:r>
      <w:r w:rsidR="00F1317A" w:rsidRPr="00F1317A">
        <w:rPr>
          <w:rFonts w:ascii="Times New Roman" w:eastAsia="Times New Roman" w:hAnsi="Times New Roman" w:cs="Times New Roman"/>
          <w:b/>
          <w:bCs/>
          <w:color w:val="002060"/>
          <w:kern w:val="32"/>
          <w:sz w:val="24"/>
          <w:szCs w:val="24"/>
          <w:lang w:val="x-none" w:eastAsia="hi-IN" w:bidi="hi-IN"/>
        </w:rPr>
        <w:t xml:space="preserve">СРЕДНЯЯ ОБЩЕОБРАЗОВАТЕЛЬНАЯ ШКОЛА </w:t>
      </w:r>
      <w:r w:rsidR="00F1317A" w:rsidRPr="00F1317A">
        <w:rPr>
          <w:rFonts w:ascii="Times New Roman" w:eastAsia="Times New Roman" w:hAnsi="Times New Roman" w:cs="Times New Roman"/>
          <w:b/>
          <w:bCs/>
          <w:color w:val="002060"/>
          <w:kern w:val="32"/>
          <w:sz w:val="24"/>
          <w:szCs w:val="24"/>
          <w:lang w:eastAsia="hi-IN" w:bidi="hi-IN"/>
        </w:rPr>
        <w:t>№1</w:t>
      </w:r>
    </w:p>
    <w:p w14:paraId="40DA1F7C" w14:textId="33A142D0" w:rsidR="002A102C" w:rsidRDefault="00777FD7" w:rsidP="002A102C">
      <w:pPr>
        <w:pStyle w:val="a8"/>
        <w:jc w:val="center"/>
        <w:rPr>
          <w:rFonts w:ascii="Times New Roman" w:eastAsia="Times New Roman" w:hAnsi="Times New Roman"/>
          <w:b/>
          <w:bCs/>
          <w:color w:val="002060"/>
          <w:kern w:val="32"/>
          <w:sz w:val="24"/>
          <w:szCs w:val="24"/>
          <w:lang w:eastAsia="hi-IN" w:bidi="hi-IN"/>
        </w:rPr>
      </w:pPr>
      <w:r>
        <w:rPr>
          <w:rFonts w:ascii="Times New Roman" w:eastAsia="Times New Roman" w:hAnsi="Times New Roman"/>
          <w:b/>
          <w:bCs/>
          <w:color w:val="002060"/>
          <w:kern w:val="32"/>
          <w:sz w:val="24"/>
          <w:szCs w:val="24"/>
          <w:lang w:eastAsia="hi-IN" w:bidi="hi-IN"/>
        </w:rPr>
        <w:t>ИМЕНИ МАГОМЕД-ГЕРЕЯ ЗУЛЬПУКАРОВА»</w:t>
      </w:r>
    </w:p>
    <w:p w14:paraId="4C8CEB05" w14:textId="77777777" w:rsidR="002408FD" w:rsidRDefault="002408FD" w:rsidP="002A102C">
      <w:pPr>
        <w:pStyle w:val="a8"/>
        <w:jc w:val="center"/>
        <w:rPr>
          <w:rFonts w:ascii="Times New Roman" w:eastAsia="Times New Roman" w:hAnsi="Times New Roman"/>
          <w:b/>
          <w:bCs/>
          <w:color w:val="002060"/>
          <w:kern w:val="32"/>
          <w:sz w:val="24"/>
          <w:szCs w:val="24"/>
          <w:lang w:eastAsia="hi-IN" w:bidi="hi-IN"/>
        </w:rPr>
      </w:pPr>
    </w:p>
    <w:p w14:paraId="73199B49" w14:textId="77777777" w:rsidR="002408FD" w:rsidRPr="002408FD" w:rsidRDefault="002408FD" w:rsidP="002408FD">
      <w:pPr>
        <w:pStyle w:val="a8"/>
        <w:jc w:val="center"/>
        <w:rPr>
          <w:rFonts w:ascii="Times New Roman" w:eastAsia="Times New Roman" w:hAnsi="Times New Roman"/>
          <w:color w:val="002060"/>
          <w:kern w:val="32"/>
          <w:sz w:val="24"/>
          <w:szCs w:val="24"/>
          <w:lang w:eastAsia="hi-IN" w:bidi="hi-IN"/>
        </w:rPr>
      </w:pP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lang w:eastAsia="hi-IN" w:bidi="hi-IN"/>
        </w:rPr>
        <w:t>368890, г. Южно-Сухокумск                                                              тел.: (8-876) 2-12-68</w:t>
      </w:r>
    </w:p>
    <w:p w14:paraId="386745B8" w14:textId="77777777" w:rsidR="002408FD" w:rsidRPr="002408FD" w:rsidRDefault="002408FD" w:rsidP="002408FD">
      <w:pPr>
        <w:pStyle w:val="a8"/>
        <w:jc w:val="center"/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eastAsia="hi-IN" w:bidi="hi-IN"/>
        </w:rPr>
      </w:pP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eastAsia="hi-IN" w:bidi="hi-IN"/>
        </w:rPr>
        <w:t xml:space="preserve">ул.  Гагарина,6                                                                   </w:t>
      </w: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val="en-US" w:eastAsia="hi-IN" w:bidi="hi-IN"/>
        </w:rPr>
        <w:t>e</w:t>
      </w: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eastAsia="hi-IN" w:bidi="hi-IN"/>
        </w:rPr>
        <w:t>-</w:t>
      </w:r>
      <w:proofErr w:type="spellStart"/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val="en-US" w:eastAsia="hi-IN" w:bidi="hi-IN"/>
        </w:rPr>
        <w:t>mai</w:t>
      </w:r>
      <w:proofErr w:type="spellEnd"/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eastAsia="hi-IN" w:bidi="hi-IN"/>
        </w:rPr>
        <w:t xml:space="preserve">: </w:t>
      </w:r>
      <w:hyperlink r:id="rId6" w:history="1"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val="en-US" w:eastAsia="hi-IN" w:bidi="hi-IN"/>
          </w:rPr>
          <w:t>soch</w:t>
        </w:r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eastAsia="hi-IN" w:bidi="hi-IN"/>
          </w:rPr>
          <w:t>1_</w:t>
        </w:r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val="en-US" w:eastAsia="hi-IN" w:bidi="hi-IN"/>
          </w:rPr>
          <w:t>suhokumsk</w:t>
        </w:r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eastAsia="hi-IN" w:bidi="hi-IN"/>
          </w:rPr>
          <w:t>@</w:t>
        </w:r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val="en-US" w:eastAsia="hi-IN" w:bidi="hi-IN"/>
          </w:rPr>
          <w:t>mail</w:t>
        </w:r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eastAsia="hi-IN" w:bidi="hi-IN"/>
          </w:rPr>
          <w:t>.</w:t>
        </w:r>
        <w:r w:rsidRPr="002408FD">
          <w:rPr>
            <w:rStyle w:val="a7"/>
            <w:rFonts w:ascii="Times New Roman" w:eastAsia="Times New Roman" w:hAnsi="Times New Roman"/>
            <w:color w:val="002060"/>
            <w:kern w:val="32"/>
            <w:sz w:val="24"/>
            <w:szCs w:val="24"/>
            <w:lang w:val="en-US" w:eastAsia="hi-IN" w:bidi="hi-IN"/>
          </w:rPr>
          <w:t>ru</w:t>
        </w:r>
      </w:hyperlink>
    </w:p>
    <w:p w14:paraId="6CEA639B" w14:textId="06E6C8E4" w:rsidR="002408FD" w:rsidRPr="002408FD" w:rsidRDefault="002408FD" w:rsidP="002408FD">
      <w:pPr>
        <w:pStyle w:val="a8"/>
        <w:jc w:val="center"/>
        <w:rPr>
          <w:rFonts w:ascii="Times New Roman" w:eastAsia="Times New Roman" w:hAnsi="Times New Roman"/>
          <w:color w:val="002060"/>
          <w:kern w:val="32"/>
          <w:sz w:val="24"/>
          <w:szCs w:val="24"/>
          <w:lang w:eastAsia="hi-IN" w:bidi="hi-IN"/>
        </w:rPr>
      </w:pP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lang w:eastAsia="hi-IN" w:bidi="hi-IN"/>
        </w:rPr>
        <w:t xml:space="preserve">                                                                                                         «</w:t>
      </w: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u w:val="single"/>
          <w:lang w:eastAsia="hi-IN" w:bidi="hi-IN"/>
        </w:rPr>
        <w:t>10</w:t>
      </w:r>
      <w:r w:rsidRPr="002408FD">
        <w:rPr>
          <w:rFonts w:ascii="Times New Roman" w:eastAsia="Times New Roman" w:hAnsi="Times New Roman"/>
          <w:color w:val="002060"/>
          <w:kern w:val="32"/>
          <w:sz w:val="24"/>
          <w:szCs w:val="24"/>
          <w:lang w:eastAsia="hi-IN" w:bidi="hi-IN"/>
        </w:rPr>
        <w:t>» февраля_2024г.</w:t>
      </w:r>
    </w:p>
    <w:p w14:paraId="4609D967" w14:textId="13ACD45C" w:rsidR="007A5BB2" w:rsidRDefault="007A5BB2" w:rsidP="007A5BB2">
      <w:pPr>
        <w:pStyle w:val="a8"/>
        <w:rPr>
          <w:rFonts w:ascii="Times New Roman" w:eastAsia="Times New Roman" w:hAnsi="Times New Roman"/>
          <w:b/>
          <w:bCs/>
          <w:color w:val="002060"/>
          <w:kern w:val="32"/>
          <w:sz w:val="24"/>
          <w:szCs w:val="24"/>
          <w:lang w:eastAsia="hi-IN" w:bidi="hi-IN"/>
        </w:rPr>
      </w:pPr>
    </w:p>
    <w:p w14:paraId="685B901B" w14:textId="77777777" w:rsidR="002408FD" w:rsidRDefault="002408FD" w:rsidP="007A5BB2">
      <w:pPr>
        <w:pStyle w:val="a8"/>
        <w:rPr>
          <w:rStyle w:val="a4"/>
          <w:color w:val="002060"/>
          <w:sz w:val="4"/>
          <w:szCs w:val="4"/>
        </w:rPr>
      </w:pPr>
    </w:p>
    <w:p w14:paraId="505D4492" w14:textId="251C7E3E" w:rsidR="007A5BB2" w:rsidRDefault="007A5BB2" w:rsidP="007A5BB2">
      <w:pPr>
        <w:pStyle w:val="a8"/>
        <w:rPr>
          <w:rStyle w:val="a4"/>
          <w:color w:val="002060"/>
          <w:sz w:val="4"/>
          <w:szCs w:val="4"/>
        </w:rPr>
      </w:pPr>
    </w:p>
    <w:p w14:paraId="5123DBE7" w14:textId="67B7FC6A" w:rsidR="007A5BB2" w:rsidRDefault="007A5BB2" w:rsidP="007A5BB2">
      <w:pPr>
        <w:pStyle w:val="a8"/>
        <w:rPr>
          <w:rStyle w:val="a4"/>
          <w:color w:val="002060"/>
          <w:sz w:val="4"/>
          <w:szCs w:val="4"/>
        </w:rPr>
      </w:pPr>
    </w:p>
    <w:p w14:paraId="185B6400" w14:textId="05180049" w:rsidR="007A5BB2" w:rsidRDefault="007A5BB2" w:rsidP="007A5BB2">
      <w:pPr>
        <w:pStyle w:val="a8"/>
        <w:rPr>
          <w:rStyle w:val="a4"/>
          <w:color w:val="002060"/>
          <w:sz w:val="4"/>
          <w:szCs w:val="4"/>
        </w:rPr>
      </w:pPr>
    </w:p>
    <w:p w14:paraId="04CFB169" w14:textId="2ED5C829" w:rsidR="007A5BB2" w:rsidRDefault="007A5BB2" w:rsidP="007A5BB2">
      <w:pPr>
        <w:pStyle w:val="a8"/>
        <w:rPr>
          <w:rStyle w:val="a4"/>
          <w:color w:val="002060"/>
          <w:sz w:val="4"/>
          <w:szCs w:val="4"/>
        </w:rPr>
      </w:pPr>
    </w:p>
    <w:p w14:paraId="5A6C9D84" w14:textId="13E3BBE1" w:rsidR="007A5BB2" w:rsidRDefault="007A5BB2" w:rsidP="007A5BB2">
      <w:pPr>
        <w:pStyle w:val="a8"/>
        <w:rPr>
          <w:rStyle w:val="a4"/>
          <w:color w:val="002060"/>
          <w:sz w:val="4"/>
          <w:szCs w:val="4"/>
        </w:rPr>
      </w:pPr>
    </w:p>
    <w:p w14:paraId="22AB61EF" w14:textId="23D8D455" w:rsidR="007A5BB2" w:rsidRDefault="007A5BB2" w:rsidP="007A5BB2">
      <w:pPr>
        <w:pStyle w:val="a8"/>
        <w:rPr>
          <w:rStyle w:val="a4"/>
          <w:color w:val="002060"/>
          <w:sz w:val="4"/>
          <w:szCs w:val="4"/>
        </w:rPr>
      </w:pPr>
    </w:p>
    <w:p w14:paraId="505697CC" w14:textId="77777777" w:rsidR="007A5BB2" w:rsidRPr="007A5BB2" w:rsidRDefault="007A5BB2" w:rsidP="007A5BB2">
      <w:pPr>
        <w:pStyle w:val="a8"/>
        <w:rPr>
          <w:b/>
          <w:bCs/>
          <w:color w:val="002060"/>
          <w:sz w:val="4"/>
          <w:szCs w:val="4"/>
        </w:rPr>
      </w:pPr>
    </w:p>
    <w:p w14:paraId="16D85698" w14:textId="7A7F72A5" w:rsidR="00F1317A" w:rsidRPr="00F1317A" w:rsidRDefault="00F1317A" w:rsidP="00F1317A">
      <w:pPr>
        <w:shd w:val="clear" w:color="auto" w:fill="FFFFFF"/>
        <w:spacing w:after="120" w:line="405" w:lineRule="atLeast"/>
        <w:jc w:val="center"/>
        <w:outlineLvl w:val="0"/>
        <w:rPr>
          <w:rFonts w:ascii="Merriweather Bold" w:eastAsia="Times New Roman" w:hAnsi="Merriweather Bold" w:cs="Times New Roman"/>
          <w:b/>
          <w:bCs/>
          <w:color w:val="00B0F0"/>
          <w:kern w:val="36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1317A">
        <w:rPr>
          <w:rFonts w:ascii="Merriweather Bold" w:eastAsia="Times New Roman" w:hAnsi="Merriweather Bold" w:cs="Times New Roman"/>
          <w:b/>
          <w:bCs/>
          <w:color w:val="00B0F0"/>
          <w:kern w:val="36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Урок - суд по теме</w:t>
      </w:r>
    </w:p>
    <w:p w14:paraId="78901638" w14:textId="4849CA5C" w:rsidR="00F1317A" w:rsidRPr="007A5BB2" w:rsidRDefault="00F1317A" w:rsidP="00F1317A">
      <w:pPr>
        <w:shd w:val="clear" w:color="auto" w:fill="FFFFFF"/>
        <w:spacing w:after="120" w:line="405" w:lineRule="atLeast"/>
        <w:jc w:val="center"/>
        <w:outlineLvl w:val="0"/>
        <w:rPr>
          <w:rFonts w:ascii="Merriweather Bold" w:eastAsia="Times New Roman" w:hAnsi="Merriweather Bold" w:cs="Times New Roman"/>
          <w:b/>
          <w:bCs/>
          <w:color w:val="00B0F0"/>
          <w:kern w:val="36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320CC">
        <w:rPr>
          <w:rFonts w:ascii="Merriweather Bold" w:eastAsia="Times New Roman" w:hAnsi="Merriweather Bold" w:cs="Times New Roman"/>
          <w:b/>
          <w:bCs/>
          <w:color w:val="00B0F0"/>
          <w:kern w:val="36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НЮРНБЕРГСКИЙ ПРОЦЕСС</w:t>
      </w:r>
      <w:r w:rsidRPr="007A5BB2">
        <w:rPr>
          <w:rFonts w:ascii="Merriweather Bold" w:eastAsia="Times New Roman" w:hAnsi="Merriweather Bold" w:cs="Times New Roman"/>
          <w:b/>
          <w:bCs/>
          <w:color w:val="00B0F0"/>
          <w:kern w:val="36"/>
          <w:sz w:val="72"/>
          <w:szCs w:val="72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14:paraId="03373E0E" w14:textId="51E50197" w:rsidR="00C320CC" w:rsidRDefault="005729F5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  <w:r w:rsidRPr="007A5BB2">
        <w:rPr>
          <w:rFonts w:ascii="Arial CYR" w:eastAsia="Times New Roman" w:hAnsi="Arial CYR" w:cs="Arial CYR"/>
          <w:b/>
          <w:bCs/>
          <w:noProof/>
          <w:color w:val="000000"/>
          <w:kern w:val="36"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62925CFF" wp14:editId="3403152E">
            <wp:simplePos x="0" y="0"/>
            <wp:positionH relativeFrom="column">
              <wp:posOffset>1225490</wp:posOffset>
            </wp:positionH>
            <wp:positionV relativeFrom="paragraph">
              <wp:posOffset>93836</wp:posOffset>
            </wp:positionV>
            <wp:extent cx="3848669" cy="41015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40201-WA0014 (1)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9"/>
                    <a:stretch/>
                  </pic:blipFill>
                  <pic:spPr bwMode="auto">
                    <a:xfrm>
                      <a:off x="0" y="0"/>
                      <a:ext cx="3848669" cy="410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4DC04" w14:textId="6A250C58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32BCADDA" w14:textId="0B666561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724C0444" w14:textId="7A0BFC69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3945CDB9" w14:textId="04130C86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70B9A60E" w14:textId="2C5DAB1A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2079CC9A" w14:textId="7BAB06B5" w:rsidR="00F1317A" w:rsidRDefault="00F1317A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6B2D5AFE" w14:textId="77777777" w:rsidR="00F1317A" w:rsidRDefault="00F1317A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4B19B644" w14:textId="77777777" w:rsidR="00F1317A" w:rsidRDefault="00F1317A" w:rsidP="00F131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</w:t>
      </w:r>
    </w:p>
    <w:p w14:paraId="497C3907" w14:textId="77777777" w:rsidR="005729F5" w:rsidRDefault="00F1317A" w:rsidP="005729F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</w:t>
      </w:r>
    </w:p>
    <w:p w14:paraId="3B1B7A78" w14:textId="476F9476" w:rsidR="00F1317A" w:rsidRPr="005729F5" w:rsidRDefault="005729F5" w:rsidP="005729F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</w:t>
      </w:r>
      <w:r w:rsidR="00F131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1317A"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>Провела</w:t>
      </w:r>
      <w:r w:rsidR="007A5BB2"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>: учитель истории</w:t>
      </w:r>
      <w:r w:rsidR="00F1317A"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 xml:space="preserve"> </w:t>
      </w:r>
    </w:p>
    <w:p w14:paraId="2CB7F0F2" w14:textId="5C2D0763" w:rsidR="00362124" w:rsidRPr="00F1317A" w:rsidRDefault="00F1317A" w:rsidP="00F1317A">
      <w:pPr>
        <w:ind w:left="609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>М.</w:t>
      </w:r>
      <w:r w:rsidR="007A5BB2"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 xml:space="preserve"> </w:t>
      </w:r>
      <w:r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>К.</w:t>
      </w:r>
      <w:r w:rsidR="007A5BB2"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 xml:space="preserve"> </w:t>
      </w:r>
      <w:r w:rsidRPr="005729F5">
        <w:rPr>
          <w:rFonts w:ascii="Merriweather Bold" w:hAnsi="Merriweather Bold" w:cs="Times New Roman"/>
          <w:b/>
          <w:bCs/>
          <w:color w:val="002060"/>
          <w:sz w:val="28"/>
          <w:szCs w:val="28"/>
        </w:rPr>
        <w:t>Исламова</w:t>
      </w:r>
      <w:r w:rsidR="00C320CC"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  <w:tab/>
      </w:r>
      <w:r w:rsidR="00362124"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  <w:br w:type="page"/>
      </w:r>
    </w:p>
    <w:p w14:paraId="20C0DDC9" w14:textId="77777777" w:rsidR="00F1317A" w:rsidRDefault="00F1317A" w:rsidP="009B613B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0000"/>
          <w:kern w:val="36"/>
          <w:sz w:val="36"/>
          <w:szCs w:val="36"/>
          <w:lang w:eastAsia="ru-RU"/>
        </w:rPr>
      </w:pPr>
    </w:p>
    <w:p w14:paraId="108B49C0" w14:textId="614D095B" w:rsidR="009B613B" w:rsidRPr="0036504C" w:rsidRDefault="009B613B" w:rsidP="0036504C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b/>
          <w:bCs/>
          <w:color w:val="002060"/>
          <w:kern w:val="36"/>
          <w:sz w:val="36"/>
          <w:szCs w:val="36"/>
          <w:lang w:eastAsia="ru-RU"/>
        </w:rPr>
      </w:pPr>
      <w:bookmarkStart w:id="0" w:name="_GoBack"/>
      <w:r w:rsidRPr="002408FD">
        <w:rPr>
          <w:rFonts w:ascii="Arial CYR" w:eastAsia="Times New Roman" w:hAnsi="Arial CYR" w:cs="Arial CYR"/>
          <w:b/>
          <w:bCs/>
          <w:color w:val="002060"/>
          <w:kern w:val="36"/>
          <w:sz w:val="36"/>
          <w:szCs w:val="36"/>
          <w:lang w:eastAsia="ru-RU"/>
        </w:rPr>
        <w:t>НЮРНБЕРГСКИЙ ПРОЦЕСС</w:t>
      </w:r>
    </w:p>
    <w:tbl>
      <w:tblPr>
        <w:tblW w:w="5000" w:type="pct"/>
        <w:jc w:val="center"/>
        <w:tblCellSpacing w:w="0" w:type="dxa"/>
        <w:shd w:val="clear" w:color="auto" w:fill="C0C0C0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0012"/>
      </w:tblGrid>
      <w:tr w:rsidR="009B613B" w:rsidRPr="009B613B" w14:paraId="68F958C7" w14:textId="77777777" w:rsidTr="009B613B">
        <w:trPr>
          <w:tblCellSpacing w:w="0" w:type="dxa"/>
          <w:jc w:val="center"/>
        </w:trPr>
        <w:tc>
          <w:tcPr>
            <w:tcW w:w="0" w:type="auto"/>
            <w:shd w:val="clear" w:color="auto" w:fill="C0C0C0"/>
            <w:vAlign w:val="center"/>
            <w:hideMark/>
          </w:tcPr>
          <w:bookmarkEnd w:id="0"/>
          <w:p w14:paraId="4A98F4EF" w14:textId="02411EA2" w:rsidR="009B613B" w:rsidRPr="009B613B" w:rsidRDefault="009B613B" w:rsidP="009B613B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color w:val="000000"/>
                <w:sz w:val="20"/>
                <w:szCs w:val="20"/>
                <w:lang w:eastAsia="ru-RU"/>
              </w:rPr>
            </w:pPr>
            <w:r w:rsidRPr="002408FD">
              <w:rPr>
                <w:rFonts w:ascii="Arial CYR" w:eastAsia="Times New Roman" w:hAnsi="Arial CYR" w:cs="Arial CYR"/>
                <w:b/>
                <w:bCs/>
                <w:color w:val="C00000"/>
                <w:sz w:val="20"/>
                <w:szCs w:val="20"/>
                <w:lang w:eastAsia="ru-RU"/>
              </w:rPr>
              <w:t xml:space="preserve">Урок-суд по теме «Нюрнбергский процесс». </w:t>
            </w:r>
          </w:p>
        </w:tc>
      </w:tr>
    </w:tbl>
    <w:p w14:paraId="40CFAFF9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 </w:t>
      </w:r>
    </w:p>
    <w:p w14:paraId="7A9EA996" w14:textId="77777777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C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0"/>
          <w:szCs w:val="20"/>
          <w:lang w:eastAsia="ru-RU"/>
        </w:rPr>
        <w:t>Цели:</w:t>
      </w:r>
    </w:p>
    <w:p w14:paraId="33DCE04C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noProof/>
          <w:color w:val="000000"/>
          <w:sz w:val="20"/>
          <w:szCs w:val="20"/>
          <w:lang w:eastAsia="ru-RU"/>
        </w:rPr>
        <w:drawing>
          <wp:anchor distT="47625" distB="47625" distL="66675" distR="66675" simplePos="0" relativeHeight="251654656" behindDoc="0" locked="0" layoutInCell="1" allowOverlap="0" wp14:anchorId="294B89D0" wp14:editId="7550652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19250" cy="2247900"/>
            <wp:effectExtent l="0" t="0" r="0" b="0"/>
            <wp:wrapSquare wrapText="bothSides"/>
            <wp:docPr id="15" name="Рисунок 15" descr="http://his.1september.ru/2006/09/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is.1september.ru/2006/09/40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1. Раскрыть историческое значение Нюрнбергского процесса, впервые в мире осудившего преступления против человечества.</w:t>
      </w:r>
    </w:p>
    <w:p w14:paraId="3B958060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2. Расширить кругозор школьников за счёт сведений, выходящих за рамки школьного учебника.</w:t>
      </w:r>
    </w:p>
    <w:p w14:paraId="716AC8A0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3. Способствовать воспитанию у учащихся чувства неприятия войны как средства решения международных конфликтов, понимания неизбежности расплаты за преступления против человечества.</w:t>
      </w:r>
    </w:p>
    <w:p w14:paraId="289F9597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Оборудование: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учебник «Мир в XX веке» (11-й класс); брошюра «Суд над фашизмом и агрессией» (сер. «История». М.: Знание, 1985); карточки для учащихся, таблички с именами гитлеровских преступников; слайды, запечатлевшие злодеяния гитлеровцев в годы Второй мировой войны; флажки СССР, США, Великобритании, Франции.</w:t>
      </w:r>
    </w:p>
    <w:p w14:paraId="0D3A9840" w14:textId="77777777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C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0"/>
          <w:szCs w:val="20"/>
          <w:lang w:eastAsia="ru-RU"/>
        </w:rPr>
        <w:t>Методические примечания</w:t>
      </w:r>
    </w:p>
    <w:p w14:paraId="1BEF934A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noProof/>
          <w:color w:val="000000"/>
          <w:sz w:val="20"/>
          <w:szCs w:val="20"/>
          <w:lang w:eastAsia="ru-RU"/>
        </w:rPr>
        <w:drawing>
          <wp:anchor distT="47625" distB="47625" distL="66675" distR="66675" simplePos="0" relativeHeight="251656704" behindDoc="0" locked="0" layoutInCell="1" allowOverlap="0" wp14:anchorId="66942DE5" wp14:editId="28460C3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209925" cy="1552575"/>
            <wp:effectExtent l="0" t="0" r="9525" b="9525"/>
            <wp:wrapSquare wrapText="bothSides"/>
            <wp:docPr id="14" name="Рисунок 14" descr="http://his.1september.ru/2006/09/4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s.1september.ru/2006/09/40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1. Урок можно провести к </w:t>
      </w:r>
      <w:r w:rsidR="00CC265E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70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-й годовщине Нюрнбергского процесса или же во время изучения темы «Вторая мировая война».</w:t>
      </w:r>
    </w:p>
    <w:p w14:paraId="50F22EA9" w14:textId="75C54409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2. Урок проводится в форме символического суда. Учащиеся исполняют роли членов суда, представителей обвинения, свидетелей защиты, членов секретариата. Столы расставлены в форме прямоугольника. С одной стороны сидят «члены трибунала», на столе стоят флажки СССР, США, Великобритании, Франции. Напротив — «члены секретариата» (по ходу заседания они зачитывают исторические справки); по сторонам от членов трибунала сидят «представители обвинения» и «свидетели защиты», рядом с ними стол, имитирующий «скамью подсудимых», на котором стоят таблички с </w:t>
      </w:r>
      <w:r w:rsidR="00C320CC">
        <w:rPr>
          <w:rFonts w:ascii="Arial CYR" w:eastAsia="Times New Roman" w:hAnsi="Arial CYR" w:cs="Arial CYR"/>
          <w:b/>
          <w:bCs/>
          <w:noProof/>
          <w:color w:val="000000"/>
          <w:sz w:val="20"/>
          <w:szCs w:val="20"/>
          <w:lang w:eastAsia="ru-RU"/>
        </w:rPr>
        <w:drawing>
          <wp:anchor distT="47625" distB="47625" distL="66675" distR="66675" simplePos="0" relativeHeight="251651584" behindDoc="0" locked="0" layoutInCell="1" allowOverlap="0" wp14:anchorId="0144F480" wp14:editId="224EB175">
            <wp:simplePos x="0" y="0"/>
            <wp:positionH relativeFrom="column">
              <wp:posOffset>4319270</wp:posOffset>
            </wp:positionH>
            <wp:positionV relativeFrom="line">
              <wp:posOffset>184785</wp:posOffset>
            </wp:positionV>
            <wp:extent cx="1905000" cy="2695575"/>
            <wp:effectExtent l="0" t="0" r="0" b="9525"/>
            <wp:wrapSquare wrapText="bothSides"/>
            <wp:docPr id="13" name="Рисунок 13" descr="http://his.1september.ru/2006/09/4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is.1september.ru/2006/09/4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именами фашистских преступников.</w:t>
      </w:r>
    </w:p>
    <w:p w14:paraId="75F4ECBF" w14:textId="3D93882E" w:rsidR="009B613B" w:rsidRPr="002408FD" w:rsidRDefault="009B613B" w:rsidP="009B613B">
      <w:pPr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b/>
          <w:bCs/>
          <w:color w:val="002060"/>
          <w:sz w:val="20"/>
          <w:szCs w:val="20"/>
          <w:shd w:val="clear" w:color="auto" w:fill="FFFFFF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shd w:val="clear" w:color="auto" w:fill="FFFFFF"/>
          <w:lang w:eastAsia="ru-RU"/>
        </w:rPr>
        <w:t>ХОД УРОКА</w:t>
      </w: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shd w:val="clear" w:color="auto" w:fill="FFFFFF"/>
          <w:lang w:eastAsia="ru-RU"/>
        </w:rPr>
        <w:br/>
      </w:r>
      <w:r w:rsidRPr="002408FD">
        <w:rPr>
          <w:rFonts w:ascii="Arial CYR" w:eastAsia="Times New Roman" w:hAnsi="Arial CYR" w:cs="Arial CYR"/>
          <w:b/>
          <w:bCs/>
          <w:i/>
          <w:iCs/>
          <w:color w:val="002060"/>
          <w:sz w:val="20"/>
          <w:szCs w:val="20"/>
          <w:shd w:val="clear" w:color="auto" w:fill="FFFFFF"/>
          <w:lang w:eastAsia="ru-RU"/>
        </w:rPr>
        <w:t>(в виде развёрнутого плана с приложениями)</w:t>
      </w:r>
    </w:p>
    <w:p w14:paraId="502B560B" w14:textId="77777777" w:rsidR="009B613B" w:rsidRPr="002408FD" w:rsidRDefault="009B613B" w:rsidP="009B613B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C00000"/>
          <w:sz w:val="20"/>
          <w:szCs w:val="20"/>
          <w:shd w:val="clear" w:color="auto" w:fill="FFFFFF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0"/>
          <w:szCs w:val="20"/>
          <w:shd w:val="clear" w:color="auto" w:fill="FFFFFF"/>
          <w:lang w:eastAsia="ru-RU"/>
        </w:rPr>
        <w:t>1. Сообщение темы и целей урока.</w:t>
      </w:r>
    </w:p>
    <w:p w14:paraId="2990CB2D" w14:textId="362CF524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lang w:eastAsia="ru-RU"/>
        </w:rPr>
        <w:t>Учитель.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Сегодняшний урок мы посвятим Нюрнбергскому процессу, историческому событию, вошедшему в историю под названием «Суд народов». В 2006 г. исполняется 60 лет со дня этого процесса.</w:t>
      </w:r>
    </w:p>
    <w:p w14:paraId="32CF3565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Что вы слышали о Нюрнбергском процессе?</w:t>
      </w:r>
    </w:p>
    <w:p w14:paraId="5240386F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Выслушиваются ответы учащихся.</w:t>
      </w:r>
    </w:p>
    <w:p w14:paraId="56CBF6A1" w14:textId="77777777" w:rsidR="00F1317A" w:rsidRDefault="00F1317A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</w:p>
    <w:p w14:paraId="04C1E4E0" w14:textId="22093892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Сколько строк в учебнике отводится этому событию? 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Около 7 строк.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</w:t>
      </w:r>
    </w:p>
    <w:p w14:paraId="6225DA62" w14:textId="77777777" w:rsidR="0036504C" w:rsidRDefault="0036504C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</w:p>
    <w:p w14:paraId="3568E9D5" w14:textId="77777777" w:rsidR="0036504C" w:rsidRDefault="0036504C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</w:p>
    <w:p w14:paraId="1D762418" w14:textId="6137D165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Цель сегодняшнего урока — расширение ваших знаний о Нюрнбергском процессе, уяснение его международной роли. Я надеюсь, что всё, что вы увидите и услышите на уроке, будет способствовать укреплению ваших пацифистских устремлений. 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 необходимости объяснить.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</w:t>
      </w:r>
    </w:p>
    <w:p w14:paraId="58536178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7 строк и ...40 томов стенограмм, 7 строк и...16 тысяч страниц, тысячи фотографий, километры киноплёнок. Каждое слово, произнесённое на суде, фиксировалось. Всё это — свидетельства страшных злодеяний гитлеровских преступников. Сегодня и мы станем участниками символического суда над фашистскими главарями. Попробуем представить, что происходило во Дворце юстиции города Нюрнберга в 1945—1946 гг.</w:t>
      </w:r>
    </w:p>
    <w:p w14:paraId="11CF0DA4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2. Историческая справка № 1 — зачитывает «член секретариата» 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Приложение 1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).</w:t>
      </w:r>
    </w:p>
    <w:p w14:paraId="4F4B0646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lang w:eastAsia="ru-RU"/>
        </w:rPr>
        <w:t>Председатель суда.</w:t>
      </w:r>
      <w:r w:rsidRPr="002408FD">
        <w:rPr>
          <w:rFonts w:ascii="Arial CYR" w:eastAsia="Times New Roman" w:hAnsi="Arial CYR" w:cs="Arial CYR"/>
          <w:color w:val="00206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Слово предоставляется защите.</w:t>
      </w:r>
    </w:p>
    <w:p w14:paraId="0C3C8007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Свидетели защиты: 1-й, 2-й, 3-й ученики произносят слова из речей адвокатов нацистских главарей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Приложение 1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).</w:t>
      </w:r>
    </w:p>
    <w:p w14:paraId="080842CB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3. Историческая справка № 2 — зачитывает «член секретариата» 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Приложение 1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).</w:t>
      </w:r>
    </w:p>
    <w:p w14:paraId="3FF72CB4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lang w:eastAsia="ru-RU"/>
        </w:rPr>
        <w:t>Председатель суда.</w:t>
      </w:r>
      <w:r w:rsidRPr="002408FD">
        <w:rPr>
          <w:rFonts w:ascii="Arial CYR" w:eastAsia="Times New Roman" w:hAnsi="Arial CYR" w:cs="Arial CYR"/>
          <w:color w:val="00206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Слово предоставляется свидетелям обвинения.</w:t>
      </w:r>
    </w:p>
    <w:p w14:paraId="087ACFC2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 xml:space="preserve">Свидетели обвинения зачитывают сведения о гитлеровских преступниках и их </w:t>
      </w:r>
      <w:proofErr w:type="gramStart"/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злодеяниях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(</w:t>
      </w:r>
      <w:proofErr w:type="gramEnd"/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Приложение 2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).</w:t>
      </w:r>
    </w:p>
    <w:p w14:paraId="6A80FB33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4. Историческая справка № 3 — зачитывает «член секретариата» 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Приложение 1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).</w:t>
      </w:r>
    </w:p>
    <w:p w14:paraId="7131B66E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5. Историческая справка № 4 — зачитывает «член секретариата» (</w:t>
      </w:r>
      <w:r w:rsidRPr="009B613B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Приложение 1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).</w:t>
      </w:r>
    </w:p>
    <w:p w14:paraId="1B30912D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6. Просмотр слайдов (кадры, заснятые в Освенциме, Треблинке и других лагерях смерти, кадры кинохроники о зверствах фашистов на оккупированных территориях и пр.)</w:t>
      </w:r>
    </w:p>
    <w:p w14:paraId="313E1E86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7. </w:t>
      </w: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lang w:eastAsia="ru-RU"/>
        </w:rPr>
        <w:t>Учитель.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1 октября 1946 г. на последнем, 403-м заседании председателем трибунала был объявлен приговор.</w:t>
      </w:r>
    </w:p>
    <w:p w14:paraId="3725D6D8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lang w:eastAsia="ru-RU"/>
        </w:rPr>
        <w:t>Председатель суда</w:t>
      </w: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 Геринга, Риббентропа, Кейтеля, Кальтенбруннера, Розенберга, Франка, Фрика,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Штрейхера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Заукеля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Зейсс-Инкварта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Йодля, а также Бормана (заочно) приговорить к смертной казни через повешение.</w:t>
      </w:r>
    </w:p>
    <w:p w14:paraId="41AFDFFB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К пожизненному заключению приговорить: Гесса,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Функа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Редера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</w:t>
      </w:r>
    </w:p>
    <w:p w14:paraId="13306CEA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Приговорить: Деница — к 10 годам,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Нейрата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— к 15 годам,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Шираха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— к 20 годам,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Шпеера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— к 20 годам тюремного заключения.</w:t>
      </w:r>
    </w:p>
    <w:p w14:paraId="43CF007C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Большинством голосов оправданы: Шахт,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Папен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Фриче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</w:t>
      </w:r>
    </w:p>
    <w:p w14:paraId="775266B7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0"/>
          <w:szCs w:val="20"/>
          <w:lang w:eastAsia="ru-RU"/>
        </w:rPr>
        <w:t>Учитель.</w:t>
      </w: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Ходатайства осуждённых о помиловании были отклонены. В ночь на 16 октября 1946 г. на территории Нюрнбергской каторжной тюрьмы приговор был приведён в исполнение. Герман Геринг за 2,5 часа до казни принял цианистый калий.</w:t>
      </w:r>
    </w:p>
    <w:p w14:paraId="2F3B7A3C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Трупы казнённых фашистских главарей были перевезены в Мюнхен, сожжены, и их прах был развеян с самолёта в горах Баварии. Осуждённые к тюремному заключению были перевезены в тюрьму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Шпандау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где содержались под охраной солдат четырёх союзных держав.</w:t>
      </w:r>
    </w:p>
    <w:p w14:paraId="17CD1E1A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Сейчас, когда поднимает голову международный терроризм, когда в разных уголках планеты гремят взрывы, уносящие жизни мирных, ни в чём неповинных людей, не будет лишним помнить итоги Нюрнбергского процесса.</w:t>
      </w:r>
    </w:p>
    <w:p w14:paraId="330877CE" w14:textId="77777777" w:rsidR="009B613B" w:rsidRPr="009B613B" w:rsidRDefault="000B246C" w:rsidP="009B6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48E7855">
          <v:rect id="_x0000_i1025" style="width:0;height:1.5pt" o:hrstd="t" o:hrnoshade="t" o:hr="t" fillcolor="black" stroked="f"/>
        </w:pict>
      </w:r>
    </w:p>
    <w:p w14:paraId="0ECFD844" w14:textId="77777777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 CYR" w:eastAsia="Times New Roman" w:hAnsi="Arial CYR" w:cs="Arial CYR"/>
          <w:b/>
          <w:bCs/>
          <w:i/>
          <w:iCs/>
          <w:color w:val="000000"/>
          <w:sz w:val="20"/>
          <w:szCs w:val="20"/>
          <w:lang w:eastAsia="ru-RU"/>
        </w:rPr>
      </w:pPr>
    </w:p>
    <w:p w14:paraId="572EF837" w14:textId="77777777" w:rsidR="0036504C" w:rsidRDefault="0036504C" w:rsidP="009B613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 CYR" w:eastAsia="Times New Roman" w:hAnsi="Arial CYR" w:cs="Arial CYR"/>
          <w:b/>
          <w:bCs/>
          <w:i/>
          <w:iCs/>
          <w:color w:val="000000" w:themeColor="text1"/>
          <w:sz w:val="20"/>
          <w:szCs w:val="20"/>
          <w:lang w:eastAsia="ru-RU"/>
        </w:rPr>
      </w:pPr>
    </w:p>
    <w:p w14:paraId="66E8E1B1" w14:textId="14DF5790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 CYR" w:eastAsia="Times New Roman" w:hAnsi="Arial CYR" w:cs="Arial CYR"/>
          <w:color w:val="000000" w:themeColor="text1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i/>
          <w:iCs/>
          <w:color w:val="000000" w:themeColor="text1"/>
          <w:sz w:val="20"/>
          <w:szCs w:val="20"/>
          <w:lang w:eastAsia="ru-RU"/>
        </w:rPr>
        <w:t>ПРИЛОЖЕНИЕ 1</w:t>
      </w:r>
    </w:p>
    <w:p w14:paraId="0F272490" w14:textId="77777777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C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4"/>
          <w:szCs w:val="24"/>
          <w:lang w:eastAsia="ru-RU"/>
        </w:rPr>
        <w:t>Историческая справка № 1</w:t>
      </w:r>
    </w:p>
    <w:p w14:paraId="6BB252F2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...20 ноября 1945 г. Зал суда с наглухо зашторен-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ными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окнами освещён искусственным светом.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br/>
        <w:t>На возвышении под флагами четырёх союзных держав (СССР, США, Великобритании и Франции) места для членов Международного военного трибунала, напротив — адвокаты в чёрных и лиловых мантиях, справа столы представителей обвинения. Неподвижно стоят, заложив руки за спину, американские военные полицейские.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br/>
        <w:t>А за барьером, на двух скамьях — подсудимые, обвиняемые в чудовищных злодеяниях, приведшие к гибели десятков миллионов людей.</w:t>
      </w:r>
    </w:p>
    <w:p w14:paraId="3324F551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В Нюрнбергском Дворце юстиции оказалась почти вся нацистская правящая клика за исключением Гитлера, Гиммлера и Геббельса, покончивших жизнь самоубийством; разбитого параличом Круппа, исчезнувшего и судимого заочно Бормана и Лея, повесившегося в тюрьме после ознакомления с обвинительным заключением.</w:t>
      </w:r>
    </w:p>
    <w:p w14:paraId="2BE3F161" w14:textId="77777777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C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4"/>
          <w:szCs w:val="24"/>
          <w:lang w:eastAsia="ru-RU"/>
        </w:rPr>
        <w:t>Историческая справка № 2</w:t>
      </w:r>
    </w:p>
    <w:p w14:paraId="62AFDE9E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Все без исключения обвиняемые на Нюрнбергском процессе пользовались такими процессуальными гарантиями, такими возможностями защиты, которые никогда не существовали не только в странах третьего рейха, но которых не знала юстиция западных стран.</w:t>
      </w:r>
    </w:p>
    <w:p w14:paraId="0FFC3F13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Подсудимые располагали услугами 27 адвокатов, которым помогали 54 ассистента-юриста и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br/>
        <w:t>67 секретарей.</w:t>
      </w:r>
    </w:p>
    <w:p w14:paraId="5B0C700D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Были удовлетворены ходатайства о вызове в суд 61 свидетеля защиты, а 143 лицам направлены опросные листы.</w:t>
      </w:r>
    </w:p>
    <w:p w14:paraId="07338CC0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Адвокаты потребовали отложить суд, утверждая, что нет такого закона, согласно которому можно привлекать к уголовной ответственности за ведение агрессивной войны.</w:t>
      </w:r>
    </w:p>
    <w:p w14:paraId="5FAB560C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Однако трибунал дал решительный отпор попыткам сорвать процесс над фашистскими преступниками.</w:t>
      </w:r>
    </w:p>
    <w:p w14:paraId="4B110252" w14:textId="77777777" w:rsidR="009B613B" w:rsidRPr="002408FD" w:rsidRDefault="009B613B" w:rsidP="009B613B">
      <w:pPr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2060"/>
          <w:sz w:val="20"/>
          <w:szCs w:val="20"/>
          <w:shd w:val="clear" w:color="auto" w:fill="FFFFFF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4"/>
          <w:szCs w:val="24"/>
          <w:shd w:val="clear" w:color="auto" w:fill="FFFFFF"/>
          <w:lang w:eastAsia="ru-RU"/>
        </w:rPr>
        <w:t>Свидетели защиты</w:t>
      </w:r>
    </w:p>
    <w:p w14:paraId="6692D635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1-й: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В Международном праве не существует закона, устанавливающего наказание глав государств за ведение агрессивных войн. Этот процесс надо отложить до выработки такого закона.</w:t>
      </w:r>
    </w:p>
    <w:p w14:paraId="2A30A7F7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2-й: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Эти люди невиновны. Вспомним Наполеона, который в течение 15 лет совершал агрессии против народов и стран, но он не был судим. Вспомним кайзера Вильгельма II, он хоть и был обвинён в развязывании Первой мировой войны, но ведь не был судим.</w:t>
      </w:r>
    </w:p>
    <w:p w14:paraId="27A87A1C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3-й: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Главные виновники — Гитлер, Гиммлер и Геббельс, а эти люди невиновны, они выполняли приказы.</w:t>
      </w:r>
    </w:p>
    <w:p w14:paraId="056153AD" w14:textId="77777777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C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4"/>
          <w:szCs w:val="24"/>
          <w:lang w:eastAsia="ru-RU"/>
        </w:rPr>
        <w:t>Историческая справка № 3</w:t>
      </w:r>
    </w:p>
    <w:p w14:paraId="01D3BC9D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20 ноября 1945 г. был оглашён обвинительный акт, а на следующий день каждому подсудимому был задан вопрос, признаёт ли он себя виновным.</w:t>
      </w:r>
    </w:p>
    <w:p w14:paraId="32F77F52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Ответы следовали стандартные: «Не признаю себя виновным» — так ответили Кейтель, Франк,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Функ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Редер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и другие.</w:t>
      </w:r>
    </w:p>
    <w:p w14:paraId="5BDC2DAE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Геринг, Риббентроп, Розенберг,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Шпеер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уточнили: «Не признаю себя виновным в том смысле, как мне предъявлено обвинение».</w:t>
      </w:r>
    </w:p>
    <w:p w14:paraId="28D1423B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И лишь Гесс внёс некоторое разнообразие, заявив: «Нет. Я признаю себя виновным перед Богом».</w:t>
      </w:r>
    </w:p>
    <w:p w14:paraId="1338AA25" w14:textId="77777777" w:rsidR="00C320CC" w:rsidRDefault="00C320CC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4"/>
          <w:szCs w:val="24"/>
          <w:lang w:eastAsia="ru-RU"/>
        </w:rPr>
      </w:pPr>
    </w:p>
    <w:p w14:paraId="3B2C8BC1" w14:textId="77777777" w:rsidR="00F1317A" w:rsidRDefault="00F1317A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4"/>
          <w:szCs w:val="24"/>
          <w:lang w:eastAsia="ru-RU"/>
        </w:rPr>
      </w:pPr>
    </w:p>
    <w:p w14:paraId="7EE698FD" w14:textId="69C1642A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C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C00000"/>
          <w:sz w:val="24"/>
          <w:szCs w:val="24"/>
          <w:lang w:eastAsia="ru-RU"/>
        </w:rPr>
        <w:t>Историческая справка № 4</w:t>
      </w:r>
    </w:p>
    <w:p w14:paraId="6F880DA8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Обвинение предоставило огромное количество доказательств. Стенограммы совещаний у Гитлера, приказы главного командования вермахта, различные инструкции, тысячи других документов легли на стол Международного военного трибунала.</w:t>
      </w:r>
    </w:p>
    <w:p w14:paraId="5180C7A9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Демонстрировались также фильмы, смонтированные из подлинных кадров фашистской кинохроники.</w:t>
      </w:r>
    </w:p>
    <w:p w14:paraId="5478924F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Концлагерь Освенцим: нескончаемые вереницы из тысяч и тысяч узников, направляемых в газовые камеры. Заключённых избивают, травят собаками...</w:t>
      </w:r>
    </w:p>
    <w:p w14:paraId="3091BA77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b/>
          <w:bCs/>
          <w:i/>
          <w:iCs/>
          <w:color w:val="000000"/>
          <w:sz w:val="20"/>
          <w:szCs w:val="20"/>
          <w:lang w:eastAsia="ru-RU"/>
        </w:rPr>
        <w:t>ПРИЛОЖЕНИЕ 2</w:t>
      </w:r>
    </w:p>
    <w:p w14:paraId="61AB31EF" w14:textId="77777777" w:rsidR="009B613B" w:rsidRPr="002408FD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206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2060"/>
          <w:sz w:val="24"/>
          <w:szCs w:val="24"/>
          <w:lang w:eastAsia="ru-RU"/>
        </w:rPr>
        <w:t>Свидетельства обвинения</w:t>
      </w:r>
    </w:p>
    <w:p w14:paraId="7FA77B55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noProof/>
          <w:color w:val="0070C0"/>
          <w:sz w:val="20"/>
          <w:szCs w:val="20"/>
          <w:lang w:eastAsia="ru-RU"/>
        </w:rPr>
        <w:drawing>
          <wp:anchor distT="47625" distB="47625" distL="66675" distR="66675" simplePos="0" relativeHeight="251653632" behindDoc="0" locked="0" layoutInCell="1" allowOverlap="0" wp14:anchorId="08AB14A6" wp14:editId="3FFAA06F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314450" cy="1752600"/>
            <wp:effectExtent l="0" t="0" r="0" b="0"/>
            <wp:wrapSquare wrapText="bothSides"/>
            <wp:docPr id="12" name="Рисунок 12" descr="http://his.1september.ru/2006/09/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is.1september.ru/2006/09/42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Герман Вильгельм Геринг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рейхсмаршал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главнокомандующий военно-воздушными силами Германии, ближайший помощник Гитлера, «человек № 2», как величали его в рейхе. Именно он был официально объявлен первым преемником Гитлера, он был организатором штурмовых отрядов и гестапо, создателем первых концлагерей.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br/>
        <w:t>С именем Геринга связано истребление еврейского населения. Он был самым активным после Гитлера подстрекателем к агрессивным войнам с целью завоевания мирового господства, идеологом и создателем программы уничтожения целых народов, ограбления оккупированных стран, использования рабского труда военнопленных и насильственно угнанных из других стран в Германию людей. Геринг причастен к подготовке нацистами бактериологической войны и массовым изуверским опытам над людьми.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60"/>
        <w:gridCol w:w="4110"/>
      </w:tblGrid>
      <w:tr w:rsidR="009B613B" w:rsidRPr="009B613B" w14:paraId="64AB9BBA" w14:textId="77777777" w:rsidTr="009B613B">
        <w:trPr>
          <w:tblCellSpacing w:w="0" w:type="dxa"/>
        </w:trPr>
        <w:tc>
          <w:tcPr>
            <w:tcW w:w="0" w:type="auto"/>
            <w:vAlign w:val="center"/>
            <w:hideMark/>
          </w:tcPr>
          <w:p w14:paraId="57336017" w14:textId="77777777" w:rsidR="009B613B" w:rsidRPr="009B613B" w:rsidRDefault="009B613B" w:rsidP="009B61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14A2165" wp14:editId="0CE98E61">
                  <wp:extent cx="1114425" cy="1485900"/>
                  <wp:effectExtent l="0" t="0" r="9525" b="0"/>
                  <wp:docPr id="6" name="Рисунок 6" descr="http://his.1september.ru/2006/09/4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is.1september.ru/2006/09/4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68FA4811" w14:textId="77777777" w:rsidR="009B613B" w:rsidRPr="009B613B" w:rsidRDefault="009B613B" w:rsidP="009B61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43CB683" wp14:editId="7707E0B9">
                  <wp:extent cx="2552700" cy="1485900"/>
                  <wp:effectExtent l="0" t="0" r="0" b="0"/>
                  <wp:docPr id="5" name="Рисунок 5" descr="http://his.1september.ru/2006/09/4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is.1september.ru/2006/09/4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20976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Рудольф Гесс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заместитель Гитлера по руководству нацистской партией, обергруппенфюрер СС и СА (штурмовых и охранных отрядов), непосредственный организатор агрессии против Австрии, Чехословакии и Польши. Он был объявлен следующим после Геринга преемником Гитлера. Гессом были подписаны такие человеконенавистнические документы, как «об охране чести и совести», указы о лишении евреев права голоса и работы в общественных учреждениях. Именно он является инициатором создания особых законов для поляков и евреев на оккупированных землях.</w:t>
      </w:r>
    </w:p>
    <w:p w14:paraId="65B1B401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В 1941 г. он вылетел в Англию с целью организации совместных действий против СССР. Там он был интернирован (задержан) до конца войны.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20"/>
        <w:gridCol w:w="3720"/>
      </w:tblGrid>
      <w:tr w:rsidR="009B613B" w:rsidRPr="009B613B" w14:paraId="584B32BC" w14:textId="77777777" w:rsidTr="009B613B">
        <w:trPr>
          <w:tblCellSpacing w:w="0" w:type="dxa"/>
        </w:trPr>
        <w:tc>
          <w:tcPr>
            <w:tcW w:w="0" w:type="auto"/>
            <w:vAlign w:val="center"/>
            <w:hideMark/>
          </w:tcPr>
          <w:p w14:paraId="6D5376C8" w14:textId="77777777" w:rsidR="009B613B" w:rsidRPr="009B613B" w:rsidRDefault="009B613B" w:rsidP="009B61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E2E277" wp14:editId="04450FF9">
                  <wp:extent cx="1162050" cy="1485900"/>
                  <wp:effectExtent l="0" t="0" r="0" b="0"/>
                  <wp:docPr id="4" name="Рисунок 4" descr="http://his.1september.ru/2006/09/4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is.1september.ru/2006/09/4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14:paraId="3600D07E" w14:textId="77777777" w:rsidR="009B613B" w:rsidRPr="009B613B" w:rsidRDefault="009B613B" w:rsidP="009B61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8CE0480" wp14:editId="6882732F">
                  <wp:extent cx="2295525" cy="1485900"/>
                  <wp:effectExtent l="0" t="0" r="9525" b="0"/>
                  <wp:docPr id="3" name="Рисунок 3" descr="http://his.1september.ru/2006/09/43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is.1september.ru/2006/09/43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E642A4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Иоахим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 фон Риббентроп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министр иностранных дел третьего рейха, один из самых активных организаторов подготовки и ведения агрессивных войн. Вместе с ближайшими приспешниками Гитлера Риббентроп разрабатывал планы колонизации оккупированных стран, ограбления, порабощения и массового истребления их граждан, активно участвовал в осуществлении этих планов на практике. По его указанию был создан «батальон особого назначения», который, следуя за передовыми частями вермахта, грабил музеи и библиотеки оккупированных территорий.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6"/>
        <w:gridCol w:w="96"/>
      </w:tblGrid>
      <w:tr w:rsidR="009B613B" w:rsidRPr="009B613B" w14:paraId="62C1E65E" w14:textId="77777777" w:rsidTr="009B613B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978072" w14:textId="5951B119" w:rsidR="009B613B" w:rsidRPr="009B613B" w:rsidRDefault="009B613B" w:rsidP="009B61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A275A59" w14:textId="2E5B0BEC" w:rsidR="009B613B" w:rsidRPr="009B613B" w:rsidRDefault="009B613B" w:rsidP="009B613B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</w:tbl>
    <w:p w14:paraId="3A4B1547" w14:textId="3FF54C11" w:rsidR="00F1317A" w:rsidRDefault="00F1317A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</w:pPr>
    </w:p>
    <w:p w14:paraId="40740C35" w14:textId="77777777" w:rsidR="0036504C" w:rsidRDefault="0036504C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</w:pPr>
    </w:p>
    <w:p w14:paraId="4E6DB5FD" w14:textId="5F6C55FA" w:rsidR="00F1317A" w:rsidRDefault="00777FD7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2848" behindDoc="1" locked="0" layoutInCell="1" allowOverlap="1" wp14:anchorId="7545F2B3" wp14:editId="6F89C6F6">
            <wp:simplePos x="0" y="0"/>
            <wp:positionH relativeFrom="column">
              <wp:posOffset>3042285</wp:posOffset>
            </wp:positionH>
            <wp:positionV relativeFrom="paragraph">
              <wp:posOffset>67310</wp:posOffset>
            </wp:positionV>
            <wp:extent cx="12287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ight>
            <wp:docPr id="2" name="Рисунок 2" descr="http://his.1september.ru/2006/09/4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is.1september.ru/2006/09/43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0800" behindDoc="1" locked="0" layoutInCell="1" allowOverlap="1" wp14:anchorId="093E1241" wp14:editId="13A2B2FF">
            <wp:simplePos x="0" y="0"/>
            <wp:positionH relativeFrom="column">
              <wp:posOffset>4271010</wp:posOffset>
            </wp:positionH>
            <wp:positionV relativeFrom="paragraph">
              <wp:posOffset>67310</wp:posOffset>
            </wp:positionV>
            <wp:extent cx="20288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99" y="21323"/>
                <wp:lineTo x="21499" y="0"/>
                <wp:lineTo x="0" y="0"/>
              </wp:wrapPolygon>
            </wp:wrapTight>
            <wp:docPr id="1" name="Рисунок 1" descr="http://his.1september.ru/2006/09/4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is.1september.ru/2006/09/43-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7C6A" w14:textId="4B8599DB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Вильгельм Кейтель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генерал-фельдмаршал, ближайший военный советник, единомышленник и соратник Гитлера. Его руками приводилась в движение вся военная машина третьего рейха. Он руководил не только подготовкой и ведением агрессивных войн, но и разработкой приказов, санкционировавших военные преступления и преступления против человечества.</w:t>
      </w: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«Человеческая жизнь на Востоке ничего не стоит!», «Только драконовские методы способны обеспечить порядок в завоёванных районах» — такими выражениями пестрели приказы, подписанные Кейтелем.</w:t>
      </w:r>
    </w:p>
    <w:p w14:paraId="3E44C74C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noProof/>
          <w:color w:val="0070C0"/>
          <w:sz w:val="20"/>
          <w:szCs w:val="20"/>
          <w:lang w:eastAsia="ru-RU"/>
        </w:rPr>
        <w:drawing>
          <wp:anchor distT="47625" distB="47625" distL="66675" distR="66675" simplePos="0" relativeHeight="251655680" behindDoc="0" locked="0" layoutInCell="1" allowOverlap="0" wp14:anchorId="36EFB31C" wp14:editId="63B99C34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952500" cy="1295400"/>
            <wp:effectExtent l="0" t="0" r="0" b="0"/>
            <wp:wrapSquare wrapText="bothSides"/>
            <wp:docPr id="11" name="Рисунок 11" descr="http://his.1september.ru/2006/09/4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is.1september.ru/2006/09/43-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Эрнст Кальтенбруннер</w:t>
      </w:r>
      <w:r w:rsidRPr="009B613B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начальник полиции безопасности, обергруппенфюрер СС, палач и правая рука Гиммлера. Это ему подчинялись гестапо и германская политическая разведка. Он ведал охраной концлагерей, руководил командами, осуществлявшими убийства людей в душегубках, пытками, массовыми казнями мирного населения. Кальтенбруннер ответствен за истребление миллионов евреев, злодейские преступления против узников концлагерей и военнопленных, против женщин, стариков и детей на оккупированных территориях.</w:t>
      </w:r>
    </w:p>
    <w:p w14:paraId="6F9E91D0" w14:textId="2A20FE23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noProof/>
          <w:color w:val="0070C0"/>
          <w:sz w:val="20"/>
          <w:szCs w:val="20"/>
          <w:lang w:eastAsia="ru-RU"/>
        </w:rPr>
        <w:drawing>
          <wp:anchor distT="47625" distB="47625" distL="66675" distR="66675" simplePos="0" relativeHeight="251658752" behindDoc="0" locked="0" layoutInCell="1" allowOverlap="0" wp14:anchorId="1BBDAA28" wp14:editId="62AA603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0" cy="1638300"/>
            <wp:effectExtent l="0" t="0" r="0" b="0"/>
            <wp:wrapSquare wrapText="bothSides"/>
            <wp:docPr id="10" name="Рисунок 10" descr="http://his.1september.ru/2006/09/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is.1september.ru/2006/09/44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Альфред Йодль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генерал-полковник, заместитель Кейтеля и один из ближайших советников Гитлера. Всё, что связано с подготовкой и осуществлением агрессивных планов фашистской Германии, неразрывно связано с его именем. Под планом «Барбаросса» (планом нападения на Советский Союз) наряду с подписями Гитлера и Кейтеля стоит подпись и Йодля. Это им были подготовлены приказы об уничтожении Москвы и Ленинграда и других городов, даны санкции на безжалостное уничтожение всех патриотов, не смирившихся с фашистским рабством.</w:t>
      </w:r>
    </w:p>
    <w:p w14:paraId="314CC549" w14:textId="4EC23BA3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Юлиус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Штрейхер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один из создателей и руководителей нацистской партии, </w:t>
      </w:r>
      <w:r w:rsidR="00777FD7">
        <w:rPr>
          <w:rFonts w:ascii="Arial CYR" w:eastAsia="Times New Roman" w:hAnsi="Arial CYR" w:cs="Arial CYR"/>
          <w:noProof/>
          <w:color w:val="000000"/>
          <w:sz w:val="20"/>
          <w:szCs w:val="20"/>
          <w:lang w:eastAsia="ru-RU"/>
        </w:rPr>
        <w:drawing>
          <wp:anchor distT="47625" distB="47625" distL="66675" distR="66675" simplePos="0" relativeHeight="251652608" behindDoc="0" locked="0" layoutInCell="1" allowOverlap="0" wp14:anchorId="5D065302" wp14:editId="3D3AECD6">
            <wp:simplePos x="0" y="0"/>
            <wp:positionH relativeFrom="column">
              <wp:posOffset>3639820</wp:posOffset>
            </wp:positionH>
            <wp:positionV relativeFrom="line">
              <wp:posOffset>145415</wp:posOffset>
            </wp:positionV>
            <wp:extent cx="1238250" cy="1543050"/>
            <wp:effectExtent l="0" t="0" r="0" b="0"/>
            <wp:wrapSquare wrapText="bothSides"/>
            <wp:docPr id="9" name="Рисунок 9" descr="http://his.1september.ru/2006/09/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is.1september.ru/2006/09/44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идеолог антисемитизма, «юдофоб № 1», как он сам себя называл, организатор еврейских погромов. Призывая к физическому уничтожению всех евреев, он писал: «...Только тогда, когда мировое еврейство будет уничтожено, эта проблема будет решена». Именно эта концепции была взята на вооружение фашистскими главарями, принявшими в 1942 г. директиву об «окончательном решении» еврейского вопроса, согласно которой в Европе было уничтожено более 6 млн еврейского населения.</w:t>
      </w:r>
    </w:p>
    <w:p w14:paraId="69394A93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Ганс Франк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рейхслейтер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фашистской партии по правовым вопросам, президент академии германского права, генерал-губернатор оккупированных польских территорий, превративший их в сплошной концлагерь. Он систематически и планомерно насаждал там голод и нищету, террор и бесправие, санкционировал массовое уничтожение еврейского и польского населения.</w:t>
      </w:r>
    </w:p>
    <w:p w14:paraId="55EEC710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Вильгельм Фрик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имперский министр внутренних дел,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рейхслейтер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член совета министров по обороне империи, генеральный уполномоченный по вопросам администрации, ведавший подготовкой тыла к войне. В течение ряда лет в его подчинении находилось гестапо, а также другие полицейские службы «рейха». Именно Фрик издал в 1940 г. приказ об уничтожении душевнобольных и престарелых.</w:t>
      </w:r>
    </w:p>
    <w:p w14:paraId="44578C9A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Яльмар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 Шахт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президент рейхсбанка, министр экономики, уполномоченный по вопросам военной экономики. Именно он помог германским монополистам обеспечить приход Гитлера к власти. Шахт — создатель военной промышленности, финансист кровопролитных войн.</w:t>
      </w:r>
    </w:p>
    <w:p w14:paraId="6DB9B6FA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Вальтер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Функ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имперский министр экономики, президент Рейхсбанка, один из главных экономических советников Гитлера. Продолжая дело Шахта, он поставил на службу агрессивным планам гитлеровцев всю экономику Германии, а затем и экономику оккупированных стран. Не кто иной, как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Функ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превратил кладовые Рейхсбанка в место хранения ценностей, награбленных гитлеровцами в оккупированных странах, в том числе золотых коронок, оправ от очков и других изделий из драгоценных металлов, снятых с узников концлагерей, умерщвлённых в газовых камерах.</w:t>
      </w:r>
    </w:p>
    <w:p w14:paraId="71E991BA" w14:textId="77777777" w:rsidR="00777FD7" w:rsidRDefault="00777FD7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</w:pPr>
    </w:p>
    <w:p w14:paraId="19651B7D" w14:textId="77777777" w:rsidR="00777FD7" w:rsidRDefault="00777FD7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</w:pPr>
    </w:p>
    <w:p w14:paraId="08AD7628" w14:textId="28888BBA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Карл Денниц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гросс-адмирал, командующий подводным флотом, с 1943 г. главнокомандующий военно-морскими силами Германии; после самоубийства Гитлера его преемник на посту главы государства. По приказу гросс-адмирала топились госпитальные суда и пароходы, на которых эвакуировались мирные жители, в том числе старики, женщины, дети, не предпринимались меры для спасения команд с потопленных кораблей и т.д.</w:t>
      </w:r>
    </w:p>
    <w:p w14:paraId="019A8E36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Эрих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Редер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гросс-адмирал, принимал активное участие в планировании, подготовке и ведении агрессивных войн фашистской Германии. Идея вторжения в Норвегию была выдвинута именно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Редером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он же призывал к оккупации Греции.</w:t>
      </w:r>
    </w:p>
    <w:p w14:paraId="214E7181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За шесть дней до нападения на СССР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Редер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отдал приказ атаковать подводные лодки в Балтийском море. Именно он был инициатором неограниченной подводной войны. Это его штаб издал кощунственную директиву об уничтожении Ленинграда и более 3 млн его жителей.</w:t>
      </w:r>
    </w:p>
    <w:p w14:paraId="59652B11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Бальдур фон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Ширах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организатор и руководитель молодёжной организации «гитлерюгенд», имперский наместник и гауляйтер Вены. В течение полутора десятков лет он растлевал германскую молодёжь ядом расизма и милитаризма, внедряя в сознание юношей и девушек человеконенавистнические идеи.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Ширах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ответствен также за порабощение австрийского народа, за убийство сотен тысяч людей. Именно он руководил выселением из Вены 60 тыс. евреев, которые затем были уничтожены в концлагерях.</w:t>
      </w:r>
    </w:p>
    <w:p w14:paraId="19322247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noProof/>
          <w:color w:val="0070C0"/>
          <w:sz w:val="20"/>
          <w:szCs w:val="20"/>
          <w:lang w:eastAsia="ru-RU"/>
        </w:rPr>
        <w:drawing>
          <wp:anchor distT="47625" distB="47625" distL="66675" distR="66675" simplePos="0" relativeHeight="251659776" behindDoc="0" locked="0" layoutInCell="1" allowOverlap="0" wp14:anchorId="05F957C6" wp14:editId="189C9E1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1250" cy="1524000"/>
            <wp:effectExtent l="0" t="0" r="0" b="0"/>
            <wp:wrapSquare wrapText="bothSides"/>
            <wp:docPr id="8" name="Рисунок 8" descr="http://his.1september.ru/2006/09/4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is.1september.ru/2006/09/44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Фриц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Заукель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обергруппенфюрер СС, генеральный уполномоченный по использованию рабочей силы. С его именем связана одна из мрачных страниц фашизма — массовый угон людей из оккупированных стран для использования в качестве рабочей силы на германских предприятиях и фермах. «Всех людей, — поучал он, — следует кормить, размещать и обращаться таким образом, чтобы эксплуатировать их с наибольшим эффектом при минимальных затратах». По его приказам на каторжные работы в Германию было отправлено более 10 млн иностранных рабочих и военнопленных.</w:t>
      </w:r>
    </w:p>
    <w:p w14:paraId="3359B996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Франц фон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Папен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— один из активных организаторов захвата власти фашистами, вице-канцлер в первом кабинете Гитлера. Являясь лидером католической партии, 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Папен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стремился обеспечить гитлеровскому режиму поддержку Ватикана. Будучи послом в Турции в 1939—1945 гг., он руководил шпионской деятельностью и организацией всякого рода провокаций.</w:t>
      </w:r>
    </w:p>
    <w:p w14:paraId="14318763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Артур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Зейсс-Инкварт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один из руководителей фашистской партии. Он помогал Гитлеру осуществлять аншлюс, т.е. захват Австрии, а во время войны санкционировал массовый террор в отношении польского и голландского народов.</w:t>
      </w:r>
    </w:p>
    <w:p w14:paraId="4B2396EA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Альберт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Шпеер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соратник и фаворит Гитлера, имперский министр вооружений и боеприпасов, начальник широко разветвлённой военно-строительной организации «</w:t>
      </w:r>
      <w:proofErr w:type="spellStart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Тодт</w:t>
      </w:r>
      <w:proofErr w:type="spellEnd"/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». Именно он во время войны возглавлял всё военное строительство и военное производство фашистской Германии.</w:t>
      </w:r>
    </w:p>
    <w:p w14:paraId="2F616075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Константин фон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Нейрат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имперский министр иностранных дел в чине генерала СС, председатель тайного совета, член совета министров по обороне империи. Прусский аристократ, дипломат старой школы, именно он помогал Гитлеру делать первые шаги в его агрессивной политике. В качестве протектора Богемии и Моравии он в течение четырёх с половиной лет насаждал в Чехословакии режим кровавого террора — так называемый «новый порядок».</w:t>
      </w:r>
    </w:p>
    <w:p w14:paraId="45BE2CFD" w14:textId="77777777" w:rsidR="009B613B" w:rsidRPr="009B613B" w:rsidRDefault="009B613B" w:rsidP="009B613B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2408FD">
        <w:rPr>
          <w:rFonts w:ascii="Arial CYR" w:eastAsia="Times New Roman" w:hAnsi="Arial CYR" w:cs="Arial CYR"/>
          <w:noProof/>
          <w:color w:val="0070C0"/>
          <w:sz w:val="20"/>
          <w:szCs w:val="20"/>
          <w:lang w:eastAsia="ru-RU"/>
        </w:rPr>
        <w:drawing>
          <wp:anchor distT="47625" distB="47625" distL="66675" distR="66675" simplePos="0" relativeHeight="251661824" behindDoc="0" locked="0" layoutInCell="1" allowOverlap="0" wp14:anchorId="70EEECB8" wp14:editId="4B68C13A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952500" cy="1076325"/>
            <wp:effectExtent l="0" t="0" r="0" b="9525"/>
            <wp:wrapSquare wrapText="bothSides"/>
            <wp:docPr id="7" name="Рисунок 7" descr="http://his.1september.ru/2006/09/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is.1september.ru/2006/09/45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 xml:space="preserve">Ганс </w:t>
      </w:r>
      <w:proofErr w:type="spellStart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Фриче</w:t>
      </w:r>
      <w:proofErr w:type="spellEnd"/>
      <w:r w:rsidRPr="002408FD">
        <w:rPr>
          <w:rFonts w:ascii="Arial CYR" w:eastAsia="Times New Roman" w:hAnsi="Arial CYR" w:cs="Arial CYR"/>
          <w:b/>
          <w:bCs/>
          <w:color w:val="0070C0"/>
          <w:sz w:val="20"/>
          <w:szCs w:val="20"/>
          <w:lang w:eastAsia="ru-RU"/>
        </w:rPr>
        <w:t> </w:t>
      </w:r>
      <w:r w:rsidRPr="009B613B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— ближайший сотрудник Геббельса, начальник отдела внутренней прессы министерства пропаганды, затем руководитель радиовещания. Своими выступлениями он культивировал в немцах чувство ненависти к другим народам, добивался, чтобы его соотечественники безропотно следовали за нацистской партией. Его личная ответственность за политическое и моральное растление германского народа велика.</w:t>
      </w:r>
    </w:p>
    <w:p w14:paraId="6B822C55" w14:textId="77777777" w:rsidR="00C320CC" w:rsidRDefault="00C320CC" w:rsidP="009B6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626F10" w14:textId="46AF8B78" w:rsidR="003570FC" w:rsidRPr="00777FD7" w:rsidRDefault="000B246C" w:rsidP="00777F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268B16C">
          <v:rect id="_x0000_i1026" style="width:0;height:1.5pt" o:hrstd="t" o:hrnoshade="t" o:hr="t" fillcolor="black" stroked="f"/>
        </w:pict>
      </w:r>
    </w:p>
    <w:sectPr w:rsidR="003570FC" w:rsidRPr="00777FD7" w:rsidSect="005729F5">
      <w:pgSz w:w="11906" w:h="16838"/>
      <w:pgMar w:top="284" w:right="850" w:bottom="851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Merriweather Bold">
    <w:panose1 w:val="02060503050406030704"/>
    <w:charset w:val="CC"/>
    <w:family w:val="roman"/>
    <w:pitch w:val="variable"/>
    <w:sig w:usb0="A00002BF" w:usb1="5000207B" w:usb2="00000020" w:usb3="00000000" w:csb0="000000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C1D7B68"/>
    <w:multiLevelType w:val="hybridMultilevel"/>
    <w:tmpl w:val="9662C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613B"/>
    <w:rsid w:val="000B246C"/>
    <w:rsid w:val="001B13EE"/>
    <w:rsid w:val="002408FD"/>
    <w:rsid w:val="002A102C"/>
    <w:rsid w:val="003570FC"/>
    <w:rsid w:val="00362124"/>
    <w:rsid w:val="0036504C"/>
    <w:rsid w:val="005729F5"/>
    <w:rsid w:val="00777FD7"/>
    <w:rsid w:val="007A5BB2"/>
    <w:rsid w:val="009B613B"/>
    <w:rsid w:val="00C320CC"/>
    <w:rsid w:val="00C630A3"/>
    <w:rsid w:val="00CC265E"/>
    <w:rsid w:val="00F1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B363B"/>
  <w15:docId w15:val="{5205767A-4843-43D6-830D-717B5FF3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61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61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B6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613B"/>
    <w:rPr>
      <w:b/>
      <w:bCs/>
    </w:rPr>
  </w:style>
  <w:style w:type="character" w:customStyle="1" w:styleId="apple-converted-space">
    <w:name w:val="apple-converted-space"/>
    <w:basedOn w:val="a0"/>
    <w:rsid w:val="009B613B"/>
  </w:style>
  <w:style w:type="paragraph" w:styleId="a5">
    <w:name w:val="Balloon Text"/>
    <w:basedOn w:val="a"/>
    <w:link w:val="a6"/>
    <w:uiPriority w:val="99"/>
    <w:semiHidden/>
    <w:unhideWhenUsed/>
    <w:rsid w:val="009B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613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A102C"/>
    <w:rPr>
      <w:color w:val="0000FF"/>
      <w:u w:val="single"/>
    </w:rPr>
  </w:style>
  <w:style w:type="paragraph" w:styleId="a8">
    <w:name w:val="No Spacing"/>
    <w:uiPriority w:val="1"/>
    <w:qFormat/>
    <w:rsid w:val="002A102C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Unresolved Mention"/>
    <w:basedOn w:val="a0"/>
    <w:uiPriority w:val="99"/>
    <w:semiHidden/>
    <w:unhideWhenUsed/>
    <w:rsid w:val="00240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73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2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soch1_suhokumsk@mail.ru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2643</Words>
  <Characters>15069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time fobos</cp:lastModifiedBy>
  <cp:revision>9</cp:revision>
  <dcterms:created xsi:type="dcterms:W3CDTF">2015-11-17T17:06:00Z</dcterms:created>
  <dcterms:modified xsi:type="dcterms:W3CDTF">2024-02-01T11:44:00Z</dcterms:modified>
</cp:coreProperties>
</file>